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5B" w:rsidRPr="001773EC" w:rsidRDefault="00A4435B" w:rsidP="00A4435B">
      <w:pPr>
        <w:jc w:val="both"/>
        <w:rPr>
          <w:rFonts w:eastAsia="Calibri"/>
          <w:lang w:eastAsia="ar-SA"/>
        </w:rPr>
      </w:pPr>
    </w:p>
    <w:p w:rsidR="007E089C" w:rsidRPr="00C20E09" w:rsidRDefault="004F4B2E" w:rsidP="007E089C">
      <w:pPr>
        <w:jc w:val="center"/>
        <w:rPr>
          <w:b/>
        </w:rPr>
      </w:pPr>
      <w:r w:rsidRPr="001773EC">
        <w:rPr>
          <w:b/>
        </w:rPr>
        <w:t xml:space="preserve">  </w:t>
      </w:r>
      <w:r w:rsidR="007E089C" w:rsidRPr="00C20E09">
        <w:rPr>
          <w:b/>
        </w:rPr>
        <w:t xml:space="preserve">  Повідомлення про проведення </w:t>
      </w:r>
      <w:r w:rsidR="007E089C">
        <w:rPr>
          <w:b/>
        </w:rPr>
        <w:t>Загальних</w:t>
      </w:r>
      <w:r w:rsidR="007E089C" w:rsidRPr="00C20E09">
        <w:rPr>
          <w:b/>
        </w:rPr>
        <w:t xml:space="preserve"> зборів акціонерів ПрАТ ФФ «ВІОЛА»</w:t>
      </w:r>
    </w:p>
    <w:p w:rsidR="007E089C" w:rsidRPr="00C20E09" w:rsidRDefault="007E089C" w:rsidP="007E089C">
      <w:pPr>
        <w:jc w:val="center"/>
        <w:rPr>
          <w:b/>
        </w:rPr>
      </w:pPr>
    </w:p>
    <w:p w:rsidR="007E089C" w:rsidRPr="00C20E09" w:rsidRDefault="007E089C" w:rsidP="007E089C">
      <w:pPr>
        <w:ind w:firstLine="567"/>
        <w:jc w:val="both"/>
      </w:pPr>
      <w:r w:rsidRPr="00C20E09">
        <w:t xml:space="preserve">ПРИВАТНЕ АКЦІОНЕРНЕ ТОВАРИСТВО ФАРМАЦЕВТИЧНА ФАБРИКА «ВІОЛА» (далі Товариство), 69063, м. Запоріжжя, Академіка Амосова, 75, повідомляє акціонерів Товариства про проведення позачергових </w:t>
      </w:r>
      <w:r>
        <w:t>Загальних</w:t>
      </w:r>
      <w:r w:rsidRPr="00C20E09">
        <w:t xml:space="preserve"> зборів акціонерів, які відбудуться </w:t>
      </w:r>
      <w:r w:rsidRPr="00E55091">
        <w:t>31.07</w:t>
      </w:r>
      <w:r>
        <w:t>.</w:t>
      </w:r>
      <w:r w:rsidRPr="00C20E09">
        <w:t xml:space="preserve">2018 року о 12-00 год. за адресою: м. Запоріжжя, вул. Складська, 4, четвертий поверх, конференц-зал.  </w:t>
      </w:r>
    </w:p>
    <w:p w:rsidR="007E089C" w:rsidRPr="00C20E09" w:rsidRDefault="007E089C" w:rsidP="007E089C">
      <w:pPr>
        <w:ind w:firstLine="567"/>
        <w:jc w:val="both"/>
        <w:rPr>
          <w:b/>
        </w:rPr>
      </w:pPr>
      <w:r w:rsidRPr="00C20E09">
        <w:t xml:space="preserve">Реєстрація акціонерів буде проводитись за місцем проведення зборів, початок реєстрації акціонерів  о 11-30 год, закінчення  о 12-00 год. Для реєстрації акціонерам необхідно мати документ, що посвідчує особу, а представникам акціонерів – додатково  довіреність, оформлену згідно з вимогами чинного законодавства. Дата складення переліку акціонерів, які мають право на участь у </w:t>
      </w:r>
      <w:r>
        <w:t>Загальних</w:t>
      </w:r>
      <w:r w:rsidRPr="00C20E09">
        <w:t xml:space="preserve"> зборах –  </w:t>
      </w:r>
      <w:r>
        <w:t>25.07.2018</w:t>
      </w:r>
      <w:r w:rsidRPr="00C20E09">
        <w:t xml:space="preserve"> року, станом на 24 годину.</w:t>
      </w:r>
      <w:r w:rsidRPr="00C20E09">
        <w:rPr>
          <w:b/>
        </w:rPr>
        <w:t xml:space="preserve"> </w:t>
      </w:r>
    </w:p>
    <w:p w:rsidR="007E089C" w:rsidRPr="00C20E09" w:rsidRDefault="007E089C" w:rsidP="007E089C">
      <w:pPr>
        <w:ind w:firstLine="567"/>
        <w:jc w:val="both"/>
      </w:pPr>
      <w:r w:rsidRPr="00C20E09">
        <w:t xml:space="preserve">Від дати надіслання повідомлення про проведення </w:t>
      </w:r>
      <w:r>
        <w:t>Загальних</w:t>
      </w:r>
      <w:r w:rsidRPr="00C20E09">
        <w:t xml:space="preserve"> зборів до дати проведення </w:t>
      </w:r>
      <w:r>
        <w:t>Загальних</w:t>
      </w:r>
      <w:r w:rsidRPr="00C20E09">
        <w:t xml:space="preserve"> зборів ознайомлення акціонерів з  документами, необхідними для прийняття рішень з питань порядку денного, здійснюється за місцезнаходженням Товариства у кабінеті юридичного відділу, у робочі дні - з 9 до 16 год., а в день проведення </w:t>
      </w:r>
      <w:r>
        <w:t>Загальних</w:t>
      </w:r>
      <w:r w:rsidRPr="00C20E09">
        <w:t xml:space="preserve"> зборів - також у місці їх проведення. Посадова особа, відповідальна за порядок ознайомлення акціонерів з документами – Голова Правління. Довідки за </w:t>
      </w:r>
      <w:proofErr w:type="spellStart"/>
      <w:r w:rsidRPr="00C20E09">
        <w:t>тел</w:t>
      </w:r>
      <w:proofErr w:type="spellEnd"/>
      <w:r w:rsidRPr="00C20E09">
        <w:t>. (061) 289-25-58.</w:t>
      </w:r>
    </w:p>
    <w:p w:rsidR="007E089C" w:rsidRPr="00C20E09" w:rsidRDefault="007E089C" w:rsidP="007E089C">
      <w:pPr>
        <w:ind w:firstLine="567"/>
        <w:jc w:val="both"/>
      </w:pPr>
      <w:r w:rsidRPr="00C20E09">
        <w:t xml:space="preserve">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w:t>
      </w:r>
      <w:r>
        <w:t>Загальних</w:t>
      </w:r>
      <w:r w:rsidRPr="00C20E09">
        <w:t xml:space="preserve">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Вимоги до змісту пропозиції та порядок її внесення визначені ст. 38 Закону України “Про акціонерні товариства”.</w:t>
      </w:r>
    </w:p>
    <w:p w:rsidR="007E089C" w:rsidRPr="00C20E09" w:rsidRDefault="007E089C" w:rsidP="007E089C">
      <w:pPr>
        <w:ind w:firstLine="720"/>
        <w:jc w:val="both"/>
      </w:pPr>
      <w:r w:rsidRPr="00C20E09">
        <w:t xml:space="preserve">Представником акціонера на </w:t>
      </w:r>
      <w:r>
        <w:t>Загальних</w:t>
      </w:r>
      <w:r w:rsidRPr="00C20E09">
        <w:t xml:space="preserve"> зборах акціонерного товариства за довіреністю може бути фізична особа або уповноважена особа юридичної особи. Вимоги до змісту та порядку оформлення довіреності на право участі та голосування на </w:t>
      </w:r>
      <w:r>
        <w:t>Загальних</w:t>
      </w:r>
      <w:r w:rsidRPr="00C20E09">
        <w:t xml:space="preserve"> зборах містяться у ст. 39 Закону України “Про акціонерні товариства”.</w:t>
      </w:r>
    </w:p>
    <w:p w:rsidR="007E089C" w:rsidRPr="00C20E09" w:rsidRDefault="007E089C" w:rsidP="007E089C">
      <w:pPr>
        <w:ind w:firstLine="720"/>
        <w:jc w:val="both"/>
      </w:pPr>
      <w:r w:rsidRPr="00C20E09">
        <w:t xml:space="preserve">Акціонер має право видати довіреність на право участі та голосування на </w:t>
      </w:r>
      <w:r>
        <w:t>Загальних</w:t>
      </w:r>
      <w:r w:rsidRPr="00C20E09">
        <w:t xml:space="preserve"> зборах декільком своїм представникам. </w:t>
      </w:r>
    </w:p>
    <w:p w:rsidR="007E089C" w:rsidRPr="00C20E09" w:rsidRDefault="007E089C" w:rsidP="007E089C">
      <w:pPr>
        <w:ind w:firstLine="720"/>
        <w:jc w:val="both"/>
      </w:pPr>
      <w:r w:rsidRPr="00C20E09">
        <w:t xml:space="preserve">Акціонер має право у будь-який час відкликати чи замінити свого представника на </w:t>
      </w:r>
      <w:r>
        <w:t>Загальних</w:t>
      </w:r>
      <w:r w:rsidRPr="00C20E09">
        <w:t xml:space="preserve"> зборах акціонерного товариства. </w:t>
      </w:r>
      <w:bookmarkStart w:id="0" w:name="_GoBack"/>
      <w:bookmarkEnd w:id="0"/>
    </w:p>
    <w:p w:rsidR="007E089C" w:rsidRDefault="007E089C" w:rsidP="007E089C">
      <w:pPr>
        <w:ind w:firstLine="720"/>
        <w:jc w:val="both"/>
      </w:pPr>
      <w:r w:rsidRPr="00C20E09">
        <w:t xml:space="preserve">Надання довіреності на право участі та голосування на </w:t>
      </w:r>
      <w:r>
        <w:t>Загальних</w:t>
      </w:r>
      <w:r w:rsidRPr="00C20E09">
        <w:t xml:space="preserve"> зборах не виключає право участі на цих </w:t>
      </w:r>
      <w:r>
        <w:t>Загальних</w:t>
      </w:r>
      <w:r w:rsidRPr="00C20E09">
        <w:t xml:space="preserve"> зборах акціонера, який видав довіреність, замість свого представника.</w:t>
      </w:r>
    </w:p>
    <w:p w:rsidR="00824337" w:rsidRPr="00824337" w:rsidRDefault="00824337" w:rsidP="00824337">
      <w:pPr>
        <w:ind w:firstLine="720"/>
        <w:jc w:val="both"/>
      </w:pPr>
      <w:r w:rsidRPr="00824337">
        <w:t xml:space="preserve">Загальна кількість акцій: 22773 станом на </w:t>
      </w:r>
      <w:r>
        <w:rPr>
          <w:lang w:val="ru-RU"/>
        </w:rPr>
        <w:t>09.07.</w:t>
      </w:r>
      <w:r w:rsidRPr="00824337">
        <w:t>2018 року - дата складання переліку осіб, яким надсилається повідомлення про проведення загальних зборів.</w:t>
      </w:r>
    </w:p>
    <w:p w:rsidR="00824337" w:rsidRPr="00824337" w:rsidRDefault="00824337" w:rsidP="00824337">
      <w:pPr>
        <w:ind w:firstLine="720"/>
        <w:jc w:val="both"/>
      </w:pPr>
      <w:r w:rsidRPr="00824337">
        <w:t xml:space="preserve">Кількість голосуючих акцій: 22767 станом на </w:t>
      </w:r>
      <w:r>
        <w:rPr>
          <w:lang w:val="ru-RU"/>
        </w:rPr>
        <w:t>09.07</w:t>
      </w:r>
      <w:r w:rsidRPr="00824337">
        <w:t>.2018 року - дата складання переліку осіб, яким надсилається повідомлення про проведення загальних зборів.</w:t>
      </w:r>
    </w:p>
    <w:p w:rsidR="007E089C" w:rsidRPr="00C20E09" w:rsidRDefault="007E089C" w:rsidP="007E089C">
      <w:pPr>
        <w:ind w:firstLine="720"/>
        <w:jc w:val="both"/>
      </w:pPr>
    </w:p>
    <w:p w:rsidR="007E089C" w:rsidRPr="00C20E09" w:rsidRDefault="007E089C" w:rsidP="007E089C">
      <w:pPr>
        <w:jc w:val="center"/>
        <w:rPr>
          <w:rFonts w:eastAsia="Calibri"/>
          <w:b/>
          <w:lang w:eastAsia="ar-SA"/>
        </w:rPr>
      </w:pPr>
      <w:r w:rsidRPr="00C20E09">
        <w:rPr>
          <w:b/>
        </w:rPr>
        <w:t xml:space="preserve">                  Проект порядку денного</w:t>
      </w:r>
      <w:r w:rsidRPr="00C20E09">
        <w:rPr>
          <w:rFonts w:eastAsia="Calibri"/>
          <w:b/>
          <w:lang w:eastAsia="ar-SA"/>
        </w:rPr>
        <w:t>:</w:t>
      </w:r>
    </w:p>
    <w:p w:rsidR="007E089C" w:rsidRPr="00C20E09" w:rsidRDefault="007E089C" w:rsidP="007E089C">
      <w:pPr>
        <w:numPr>
          <w:ilvl w:val="0"/>
          <w:numId w:val="33"/>
        </w:numPr>
        <w:tabs>
          <w:tab w:val="left" w:pos="360"/>
          <w:tab w:val="left" w:pos="540"/>
        </w:tabs>
        <w:ind w:left="0" w:firstLine="0"/>
        <w:jc w:val="both"/>
        <w:rPr>
          <w:rFonts w:eastAsia="Calibri"/>
          <w:lang w:eastAsia="ar-SA"/>
        </w:rPr>
      </w:pPr>
      <w:r w:rsidRPr="00C20E09">
        <w:rPr>
          <w:rFonts w:eastAsia="Calibri"/>
          <w:lang w:eastAsia="ar-SA"/>
        </w:rPr>
        <w:t>Обрання лічильної комісії.</w:t>
      </w:r>
    </w:p>
    <w:p w:rsidR="007E089C" w:rsidRPr="00C20E09" w:rsidRDefault="007E089C" w:rsidP="007E089C">
      <w:pPr>
        <w:tabs>
          <w:tab w:val="left" w:pos="360"/>
          <w:tab w:val="left" w:pos="540"/>
        </w:tabs>
        <w:jc w:val="both"/>
        <w:rPr>
          <w:rFonts w:eastAsia="Calibri"/>
          <w:lang w:eastAsia="ar-SA"/>
        </w:rPr>
      </w:pPr>
      <w:r w:rsidRPr="00C20E09">
        <w:rPr>
          <w:rFonts w:eastAsia="Calibri"/>
          <w:lang w:eastAsia="ar-SA"/>
        </w:rPr>
        <w:t xml:space="preserve">Проект рішення: Обрати лічильну комісію у складі </w:t>
      </w:r>
      <w:proofErr w:type="spellStart"/>
      <w:r w:rsidRPr="00C20E09">
        <w:rPr>
          <w:rFonts w:eastAsia="Calibri"/>
          <w:lang w:eastAsia="ar-SA"/>
        </w:rPr>
        <w:t>Твердохліб</w:t>
      </w:r>
      <w:proofErr w:type="spellEnd"/>
      <w:r w:rsidRPr="00C20E09">
        <w:rPr>
          <w:rFonts w:eastAsia="Calibri"/>
          <w:lang w:eastAsia="ar-SA"/>
        </w:rPr>
        <w:t xml:space="preserve"> А. А. – голова комісії, Борисенко О.В.  – член комісії для здійснення підрахунку голосів акціонерів під час голосування на Загальних зборах.</w:t>
      </w:r>
    </w:p>
    <w:p w:rsidR="007E089C" w:rsidRPr="00C20E09" w:rsidRDefault="007E089C" w:rsidP="007E089C">
      <w:pPr>
        <w:numPr>
          <w:ilvl w:val="0"/>
          <w:numId w:val="33"/>
        </w:numPr>
        <w:tabs>
          <w:tab w:val="left" w:pos="360"/>
          <w:tab w:val="left" w:pos="540"/>
        </w:tabs>
        <w:ind w:left="0" w:firstLine="0"/>
        <w:jc w:val="both"/>
        <w:rPr>
          <w:rFonts w:eastAsia="Calibri"/>
          <w:lang w:eastAsia="ar-SA"/>
        </w:rPr>
      </w:pPr>
      <w:r w:rsidRPr="00C20E09">
        <w:rPr>
          <w:rFonts w:eastAsia="Calibri"/>
          <w:lang w:eastAsia="ar-SA"/>
        </w:rPr>
        <w:t>Внесення та затвердження змін до Статуту Товариства, в зв’язку з приведенням Статуту Товариства  у відповідність до вимог Закону України «Про акціонерні товариства» та затвердження нової (восьмої) редакції Статуту Товариства.</w:t>
      </w:r>
    </w:p>
    <w:p w:rsidR="007E089C" w:rsidRPr="00C20E09" w:rsidRDefault="007E089C" w:rsidP="007E089C">
      <w:pPr>
        <w:tabs>
          <w:tab w:val="left" w:pos="360"/>
          <w:tab w:val="left" w:pos="540"/>
        </w:tabs>
        <w:jc w:val="both"/>
        <w:rPr>
          <w:rFonts w:eastAsia="Calibri"/>
          <w:lang w:eastAsia="ar-SA"/>
        </w:rPr>
      </w:pPr>
      <w:r w:rsidRPr="00C20E09">
        <w:rPr>
          <w:rFonts w:eastAsia="Calibri"/>
          <w:lang w:eastAsia="ar-SA"/>
        </w:rPr>
        <w:t>Проект рішення: Внести та затвердити зміни до Статуту Товариства, пов’язані з приведенням Статуту Товариства  у відповідність до вимог Закону України «Про акціонерні товариства» та затвердити нову (восьму) редакцію Статуту Товариства.</w:t>
      </w:r>
    </w:p>
    <w:p w:rsidR="007E089C" w:rsidRPr="00E55091" w:rsidRDefault="007E089C" w:rsidP="007E089C">
      <w:pPr>
        <w:numPr>
          <w:ilvl w:val="0"/>
          <w:numId w:val="33"/>
        </w:numPr>
        <w:tabs>
          <w:tab w:val="left" w:pos="360"/>
          <w:tab w:val="left" w:pos="540"/>
        </w:tabs>
        <w:ind w:left="0" w:firstLine="0"/>
        <w:jc w:val="both"/>
        <w:rPr>
          <w:rFonts w:eastAsia="Calibri"/>
          <w:lang w:eastAsia="ar-SA"/>
        </w:rPr>
      </w:pPr>
      <w:r w:rsidRPr="00E55091">
        <w:rPr>
          <w:rFonts w:eastAsia="Calibri"/>
          <w:lang w:eastAsia="ar-SA"/>
        </w:rPr>
        <w:t>Збільшення статутного капіталу Товариства шляхом приватного розміщення додаткових акцій існуючої номінальної вартості за рахунок додаткових внесків.</w:t>
      </w:r>
    </w:p>
    <w:p w:rsidR="007E089C" w:rsidRPr="00C20E09" w:rsidRDefault="007E089C" w:rsidP="007E089C">
      <w:pPr>
        <w:tabs>
          <w:tab w:val="left" w:pos="360"/>
          <w:tab w:val="left" w:pos="540"/>
        </w:tabs>
        <w:jc w:val="both"/>
        <w:rPr>
          <w:rFonts w:eastAsia="Calibri"/>
          <w:lang w:eastAsia="ar-SA"/>
        </w:rPr>
      </w:pPr>
      <w:r w:rsidRPr="00E55091">
        <w:rPr>
          <w:rFonts w:eastAsia="Calibri"/>
          <w:lang w:eastAsia="ar-SA"/>
        </w:rPr>
        <w:t>Проект рішення: Збільшити статутний капітал Товариства на суму 6 937 000 грн. (Шість мільйонів дев’ятсот тридцять сім тисяч гривень 00 копійок) шляхом приватного розміщення 19 820 (Дев’ятнадцять тисяч вісімсот двадцять) додаткових акцій існуючої номінальної вартості за рахунок додаткових внесків. Після збільшення статутний капітал Товариства становитиме 14 907 550,00грн. (Чотирнадцять мільйонів дев’ятсот сім тисяч п’ятсот п’ятдесят гривень 00 копійок), що складатиме 42 593 (Сорок дві тисячі п’ятсот дев’яносто три) акції.</w:t>
      </w:r>
    </w:p>
    <w:p w:rsidR="007E089C" w:rsidRPr="00C20E09" w:rsidRDefault="007E089C" w:rsidP="007E089C">
      <w:pPr>
        <w:numPr>
          <w:ilvl w:val="0"/>
          <w:numId w:val="33"/>
        </w:numPr>
        <w:tabs>
          <w:tab w:val="left" w:pos="360"/>
          <w:tab w:val="left" w:pos="540"/>
        </w:tabs>
        <w:ind w:left="0" w:firstLine="0"/>
        <w:jc w:val="both"/>
        <w:rPr>
          <w:rFonts w:eastAsia="Calibri"/>
          <w:lang w:eastAsia="ar-SA"/>
        </w:rPr>
      </w:pPr>
      <w:r w:rsidRPr="00C20E09">
        <w:rPr>
          <w:rFonts w:eastAsia="Calibri"/>
          <w:lang w:eastAsia="ar-SA"/>
        </w:rPr>
        <w:t>Прийняття рішення про приватне розміщення акцій, визначення переліку осіб, які є учасниками приватного розміщення акцій Товариства.</w:t>
      </w:r>
    </w:p>
    <w:p w:rsidR="007E089C" w:rsidRPr="00C20E09" w:rsidRDefault="007E089C" w:rsidP="007E089C">
      <w:pPr>
        <w:tabs>
          <w:tab w:val="left" w:pos="360"/>
          <w:tab w:val="left" w:pos="540"/>
        </w:tabs>
        <w:jc w:val="both"/>
        <w:rPr>
          <w:rFonts w:eastAsia="Calibri"/>
          <w:lang w:eastAsia="ar-SA"/>
        </w:rPr>
      </w:pPr>
      <w:r w:rsidRPr="00C20E09">
        <w:rPr>
          <w:rFonts w:eastAsia="Calibri"/>
          <w:lang w:eastAsia="ar-SA"/>
        </w:rPr>
        <w:t xml:space="preserve">Проект рішення: Прийняти рішення про приватне розміщення акцій Товариства та затвердити «Рішення про приватне розміщення акцій» окремим додатком (Додаток №1), який є невід’ємною частиною цього протоколу </w:t>
      </w:r>
      <w:r>
        <w:rPr>
          <w:rFonts w:eastAsia="Calibri"/>
          <w:lang w:eastAsia="ar-SA"/>
        </w:rPr>
        <w:t>Загальних</w:t>
      </w:r>
      <w:r w:rsidRPr="00C20E09">
        <w:rPr>
          <w:rFonts w:eastAsia="Calibri"/>
          <w:lang w:eastAsia="ar-SA"/>
        </w:rPr>
        <w:t xml:space="preserve"> зборів акціонерів. </w:t>
      </w:r>
    </w:p>
    <w:p w:rsidR="007E089C" w:rsidRPr="00C20E09" w:rsidRDefault="007E089C" w:rsidP="007E089C">
      <w:pPr>
        <w:tabs>
          <w:tab w:val="left" w:pos="360"/>
          <w:tab w:val="left" w:pos="540"/>
        </w:tabs>
        <w:jc w:val="both"/>
        <w:rPr>
          <w:rFonts w:eastAsia="Calibri"/>
          <w:lang w:eastAsia="ar-SA"/>
        </w:rPr>
      </w:pPr>
      <w:r w:rsidRPr="00C20E09">
        <w:rPr>
          <w:rFonts w:eastAsia="Calibri"/>
          <w:lang w:eastAsia="ar-SA"/>
        </w:rPr>
        <w:t xml:space="preserve">Затвердити перелік осіб, які є учасниками приватного розміщення акцій Товариства (Додаток №2), який є невід’ємною частиною цього протоколу </w:t>
      </w:r>
      <w:r>
        <w:rPr>
          <w:rFonts w:eastAsia="Calibri"/>
          <w:lang w:eastAsia="ar-SA"/>
        </w:rPr>
        <w:t>Загальних</w:t>
      </w:r>
      <w:r w:rsidRPr="00C20E09">
        <w:rPr>
          <w:rFonts w:eastAsia="Calibri"/>
          <w:lang w:eastAsia="ar-SA"/>
        </w:rPr>
        <w:t xml:space="preserve"> зборів акціонерів.</w:t>
      </w:r>
    </w:p>
    <w:p w:rsidR="007E089C" w:rsidRPr="00C20E09" w:rsidRDefault="007E089C" w:rsidP="007E089C">
      <w:pPr>
        <w:numPr>
          <w:ilvl w:val="0"/>
          <w:numId w:val="33"/>
        </w:numPr>
        <w:tabs>
          <w:tab w:val="left" w:pos="360"/>
          <w:tab w:val="left" w:pos="540"/>
        </w:tabs>
        <w:ind w:left="0" w:firstLine="0"/>
        <w:jc w:val="both"/>
        <w:rPr>
          <w:rFonts w:eastAsia="Calibri"/>
          <w:lang w:eastAsia="ar-SA"/>
        </w:rPr>
      </w:pPr>
      <w:r w:rsidRPr="00C20E09">
        <w:rPr>
          <w:rFonts w:eastAsia="Calibri"/>
          <w:lang w:eastAsia="ar-SA"/>
        </w:rPr>
        <w:t>Визначення уповноваженого органу емітента, якому надаються повноваження щодо визначення (затвердження) ціни розміщення акцій під час першого та другого етапів укладення договорів з першими власниками у процесі приватного розміщення акцій.</w:t>
      </w:r>
    </w:p>
    <w:p w:rsidR="007E089C" w:rsidRPr="00C20E09" w:rsidRDefault="007E089C" w:rsidP="007E089C">
      <w:pPr>
        <w:tabs>
          <w:tab w:val="left" w:pos="360"/>
          <w:tab w:val="left" w:pos="540"/>
        </w:tabs>
        <w:jc w:val="both"/>
        <w:rPr>
          <w:rFonts w:eastAsia="Calibri"/>
          <w:lang w:eastAsia="ar-SA"/>
        </w:rPr>
      </w:pPr>
      <w:r w:rsidRPr="00C20E09">
        <w:rPr>
          <w:rFonts w:eastAsia="Calibri"/>
          <w:lang w:eastAsia="ar-SA"/>
        </w:rPr>
        <w:t>Проект рішення: Затвердити виконавчий орган ПрАТ ФФ "ВІОЛА" (Правління) уповноваженим органом емітента, якому надаються повноваження щодо визначення (затвердження) ціни розміщення акцій під час першого та другого етапів укладення договорів з першими власниками у процесі приватного розміщення акцій.</w:t>
      </w:r>
    </w:p>
    <w:p w:rsidR="007E089C" w:rsidRPr="00C20E09" w:rsidRDefault="007E089C" w:rsidP="007E089C">
      <w:pPr>
        <w:numPr>
          <w:ilvl w:val="0"/>
          <w:numId w:val="33"/>
        </w:numPr>
        <w:tabs>
          <w:tab w:val="left" w:pos="360"/>
          <w:tab w:val="left" w:pos="540"/>
        </w:tabs>
        <w:ind w:left="0" w:firstLine="0"/>
        <w:jc w:val="both"/>
        <w:rPr>
          <w:rFonts w:eastAsia="Calibri"/>
          <w:lang w:eastAsia="ar-SA"/>
        </w:rPr>
      </w:pPr>
      <w:r w:rsidRPr="00C20E09">
        <w:rPr>
          <w:rFonts w:eastAsia="Calibri"/>
          <w:lang w:eastAsia="ar-SA"/>
        </w:rPr>
        <w:t xml:space="preserve">Визначення уповноваженого органу емітента, якому надаються повноваження проводити дії, пов’язанні з розміщенням акцій Товариства. </w:t>
      </w:r>
    </w:p>
    <w:p w:rsidR="007E089C" w:rsidRPr="00C20E09" w:rsidRDefault="007E089C" w:rsidP="007E089C">
      <w:pPr>
        <w:tabs>
          <w:tab w:val="left" w:pos="360"/>
          <w:tab w:val="left" w:pos="540"/>
        </w:tabs>
        <w:jc w:val="both"/>
        <w:rPr>
          <w:rFonts w:eastAsia="Calibri"/>
          <w:lang w:eastAsia="ar-SA"/>
        </w:rPr>
      </w:pPr>
      <w:r w:rsidRPr="00C20E09">
        <w:rPr>
          <w:rFonts w:eastAsia="Calibri"/>
          <w:lang w:eastAsia="ar-SA"/>
        </w:rPr>
        <w:t xml:space="preserve">Проект рішення: Затвердити виконавчий орган ПрАТ ФФ "ВІОЛА" (Правління) уповноваженим органом емітента, якому надаються повноваження щодо: </w:t>
      </w:r>
    </w:p>
    <w:p w:rsidR="007E089C" w:rsidRPr="00C20E09" w:rsidRDefault="007E089C" w:rsidP="007E089C">
      <w:pPr>
        <w:numPr>
          <w:ilvl w:val="0"/>
          <w:numId w:val="34"/>
        </w:numPr>
        <w:tabs>
          <w:tab w:val="left" w:pos="360"/>
          <w:tab w:val="left" w:pos="540"/>
        </w:tabs>
        <w:ind w:left="0" w:firstLine="0"/>
        <w:jc w:val="both"/>
        <w:rPr>
          <w:rFonts w:eastAsia="Calibri"/>
          <w:lang w:eastAsia="ar-SA"/>
        </w:rPr>
      </w:pPr>
      <w:r w:rsidRPr="00C20E09">
        <w:rPr>
          <w:rFonts w:eastAsia="Calibri"/>
          <w:lang w:eastAsia="ar-SA"/>
        </w:rPr>
        <w:lastRenderedPageBreak/>
        <w:t>внесення змін до проспекту емісії акцій;</w:t>
      </w:r>
    </w:p>
    <w:p w:rsidR="007E089C" w:rsidRPr="00C20E09" w:rsidRDefault="007E089C" w:rsidP="007E089C">
      <w:pPr>
        <w:numPr>
          <w:ilvl w:val="0"/>
          <w:numId w:val="34"/>
        </w:numPr>
        <w:tabs>
          <w:tab w:val="left" w:pos="360"/>
          <w:tab w:val="left" w:pos="540"/>
        </w:tabs>
        <w:ind w:left="0" w:firstLine="0"/>
        <w:jc w:val="both"/>
        <w:rPr>
          <w:rFonts w:eastAsia="Calibri"/>
          <w:lang w:eastAsia="ar-SA"/>
        </w:rPr>
      </w:pPr>
      <w:r w:rsidRPr="00C20E09">
        <w:rPr>
          <w:rFonts w:eastAsia="Calibri"/>
          <w:lang w:eastAsia="ar-SA"/>
        </w:rPr>
        <w:t xml:space="preserve">прийняття рішення про дострокове закінчення укладення договорів з першими власниками у процесі приватного розміщення акцій (у разі якщо на запланований обсяг акцій укладено договори з першими власниками та акції повністю </w:t>
      </w:r>
      <w:proofErr w:type="spellStart"/>
      <w:r w:rsidRPr="00C20E09">
        <w:rPr>
          <w:rFonts w:eastAsia="Calibri"/>
          <w:lang w:eastAsia="ar-SA"/>
        </w:rPr>
        <w:t>оплачено</w:t>
      </w:r>
      <w:proofErr w:type="spellEnd"/>
      <w:r w:rsidRPr="00C20E09">
        <w:rPr>
          <w:rFonts w:eastAsia="Calibri"/>
          <w:lang w:eastAsia="ar-SA"/>
        </w:rPr>
        <w:t>);</w:t>
      </w:r>
    </w:p>
    <w:p w:rsidR="007E089C" w:rsidRPr="00C20E09" w:rsidRDefault="007E089C" w:rsidP="007E089C">
      <w:pPr>
        <w:numPr>
          <w:ilvl w:val="0"/>
          <w:numId w:val="34"/>
        </w:numPr>
        <w:tabs>
          <w:tab w:val="left" w:pos="360"/>
          <w:tab w:val="left" w:pos="540"/>
        </w:tabs>
        <w:ind w:left="0" w:firstLine="0"/>
        <w:jc w:val="both"/>
        <w:rPr>
          <w:rFonts w:eastAsia="Calibri"/>
          <w:lang w:eastAsia="ar-SA"/>
        </w:rPr>
      </w:pPr>
      <w:r w:rsidRPr="00C20E09">
        <w:rPr>
          <w:rFonts w:eastAsia="Calibri"/>
          <w:lang w:eastAsia="ar-SA"/>
        </w:rPr>
        <w:t>затвердження результатів укладення договорів з першими власниками у процесі приватного розміщення акцій;</w:t>
      </w:r>
    </w:p>
    <w:p w:rsidR="007E089C" w:rsidRPr="00C20E09" w:rsidRDefault="007E089C" w:rsidP="007E089C">
      <w:pPr>
        <w:numPr>
          <w:ilvl w:val="0"/>
          <w:numId w:val="34"/>
        </w:numPr>
        <w:tabs>
          <w:tab w:val="left" w:pos="360"/>
          <w:tab w:val="left" w:pos="540"/>
        </w:tabs>
        <w:ind w:left="0" w:firstLine="0"/>
        <w:jc w:val="both"/>
        <w:rPr>
          <w:rFonts w:eastAsia="Calibri"/>
          <w:lang w:eastAsia="ar-SA"/>
        </w:rPr>
      </w:pPr>
      <w:r w:rsidRPr="00C20E09">
        <w:rPr>
          <w:rFonts w:eastAsia="Calibri"/>
          <w:lang w:eastAsia="ar-SA"/>
        </w:rPr>
        <w:t xml:space="preserve">затвердження результатів приватного розміщення акцій; </w:t>
      </w:r>
    </w:p>
    <w:p w:rsidR="007E089C" w:rsidRPr="00C20E09" w:rsidRDefault="007E089C" w:rsidP="007E089C">
      <w:pPr>
        <w:numPr>
          <w:ilvl w:val="0"/>
          <w:numId w:val="34"/>
        </w:numPr>
        <w:tabs>
          <w:tab w:val="left" w:pos="360"/>
          <w:tab w:val="left" w:pos="540"/>
        </w:tabs>
        <w:ind w:left="0" w:firstLine="0"/>
        <w:jc w:val="both"/>
        <w:rPr>
          <w:rFonts w:eastAsia="Calibri"/>
          <w:lang w:eastAsia="ar-SA"/>
        </w:rPr>
      </w:pPr>
      <w:r w:rsidRPr="00C20E09">
        <w:rPr>
          <w:rFonts w:eastAsia="Calibri"/>
          <w:lang w:eastAsia="ar-SA"/>
        </w:rPr>
        <w:t>затвердження звіту про результати приватного розміщення акцій;</w:t>
      </w:r>
    </w:p>
    <w:p w:rsidR="007E089C" w:rsidRPr="00C20E09" w:rsidRDefault="007E089C" w:rsidP="007E089C">
      <w:pPr>
        <w:numPr>
          <w:ilvl w:val="0"/>
          <w:numId w:val="34"/>
        </w:numPr>
        <w:tabs>
          <w:tab w:val="left" w:pos="360"/>
          <w:tab w:val="left" w:pos="540"/>
        </w:tabs>
        <w:ind w:left="0" w:firstLine="0"/>
        <w:jc w:val="both"/>
        <w:rPr>
          <w:rFonts w:eastAsia="Calibri"/>
          <w:lang w:eastAsia="ar-SA"/>
        </w:rPr>
      </w:pPr>
      <w:r w:rsidRPr="00C20E09">
        <w:rPr>
          <w:rFonts w:eastAsia="Calibri"/>
          <w:lang w:eastAsia="ar-SA"/>
        </w:rPr>
        <w:t>прийняття рішення про відмову від розміщення акцій;</w:t>
      </w:r>
    </w:p>
    <w:p w:rsidR="007E089C" w:rsidRPr="00C20E09" w:rsidRDefault="007E089C" w:rsidP="007E089C">
      <w:pPr>
        <w:numPr>
          <w:ilvl w:val="0"/>
          <w:numId w:val="34"/>
        </w:numPr>
        <w:tabs>
          <w:tab w:val="left" w:pos="360"/>
          <w:tab w:val="left" w:pos="540"/>
        </w:tabs>
        <w:ind w:left="0" w:firstLine="0"/>
        <w:jc w:val="both"/>
        <w:rPr>
          <w:rFonts w:eastAsia="Calibri"/>
          <w:lang w:eastAsia="ar-SA"/>
        </w:rPr>
      </w:pPr>
      <w:r w:rsidRPr="00C20E09">
        <w:rPr>
          <w:rFonts w:eastAsia="Calibri"/>
          <w:lang w:eastAsia="ar-SA"/>
        </w:rPr>
        <w:t>повернення внесків, внесених в оплату за акції, у разі незатвердження у встановлені законодавством строки результатів укладення договорів з першими власниками у процесі приватного розміщення акцій органом емітента, уповноваженим приймати таке рішення, або у разі прийняття рішення про відмову від розміщення акцій;</w:t>
      </w:r>
    </w:p>
    <w:p w:rsidR="007E089C" w:rsidRPr="00C20E09" w:rsidRDefault="007E089C" w:rsidP="007E089C">
      <w:pPr>
        <w:numPr>
          <w:ilvl w:val="0"/>
          <w:numId w:val="34"/>
        </w:numPr>
        <w:tabs>
          <w:tab w:val="left" w:pos="360"/>
          <w:tab w:val="left" w:pos="540"/>
        </w:tabs>
        <w:ind w:left="0" w:firstLine="0"/>
        <w:jc w:val="both"/>
        <w:rPr>
          <w:rFonts w:eastAsia="Calibri"/>
          <w:lang w:eastAsia="ar-SA"/>
        </w:rPr>
      </w:pPr>
      <w:r w:rsidRPr="00C20E09">
        <w:rPr>
          <w:rFonts w:eastAsia="Calibri"/>
          <w:lang w:eastAsia="ar-SA"/>
        </w:rPr>
        <w:t xml:space="preserve">письмового повідомлення кожного акціонера, який має переважне право на придбання розміщуваних акціонерним товариством акцій, про можливість реалізації такого права та опублікування повідомлення про це в офіційному друкованому органі. </w:t>
      </w:r>
    </w:p>
    <w:p w:rsidR="007E089C" w:rsidRPr="00C20E09" w:rsidRDefault="007E089C" w:rsidP="007E089C">
      <w:pPr>
        <w:numPr>
          <w:ilvl w:val="0"/>
          <w:numId w:val="33"/>
        </w:numPr>
        <w:tabs>
          <w:tab w:val="left" w:pos="360"/>
          <w:tab w:val="left" w:pos="540"/>
        </w:tabs>
        <w:ind w:left="0" w:firstLine="0"/>
        <w:jc w:val="both"/>
        <w:rPr>
          <w:rFonts w:eastAsia="Calibri"/>
          <w:lang w:eastAsia="ar-SA"/>
        </w:rPr>
      </w:pPr>
      <w:r w:rsidRPr="00C20E09">
        <w:rPr>
          <w:rFonts w:eastAsia="Calibri"/>
          <w:lang w:eastAsia="ar-SA"/>
        </w:rPr>
        <w:t xml:space="preserve">Визначення уповноваженої особи емітента, якій надаються повноваження проводити дії, пов’язанні з розміщенням акцій Товариства: </w:t>
      </w:r>
    </w:p>
    <w:p w:rsidR="007E089C" w:rsidRPr="00C20E09" w:rsidRDefault="007E089C" w:rsidP="007E089C">
      <w:pPr>
        <w:numPr>
          <w:ilvl w:val="0"/>
          <w:numId w:val="35"/>
        </w:numPr>
        <w:tabs>
          <w:tab w:val="left" w:pos="360"/>
          <w:tab w:val="left" w:pos="540"/>
        </w:tabs>
        <w:ind w:left="0" w:firstLine="0"/>
        <w:jc w:val="both"/>
        <w:rPr>
          <w:rFonts w:eastAsia="Calibri"/>
          <w:lang w:eastAsia="ar-SA"/>
        </w:rPr>
      </w:pPr>
      <w:r w:rsidRPr="00C20E09">
        <w:rPr>
          <w:rFonts w:eastAsia="Calibri"/>
          <w:lang w:eastAsia="ar-SA"/>
        </w:rPr>
        <w:t xml:space="preserve">Проект рішення: Затвердити  Голову правління ПрАТ ФФ "ВІОЛА", уповноваженою особою емітента, якій надаються повноваження: </w:t>
      </w:r>
    </w:p>
    <w:p w:rsidR="007E089C" w:rsidRPr="00C20E09" w:rsidRDefault="007E089C" w:rsidP="007E089C">
      <w:pPr>
        <w:numPr>
          <w:ilvl w:val="0"/>
          <w:numId w:val="35"/>
        </w:numPr>
        <w:tabs>
          <w:tab w:val="left" w:pos="360"/>
          <w:tab w:val="left" w:pos="540"/>
        </w:tabs>
        <w:ind w:left="0" w:firstLine="0"/>
        <w:jc w:val="both"/>
        <w:rPr>
          <w:rFonts w:eastAsia="Calibri"/>
          <w:lang w:eastAsia="ar-SA"/>
        </w:rPr>
      </w:pPr>
      <w:r w:rsidRPr="00C20E09">
        <w:rPr>
          <w:rFonts w:eastAsia="Calibri"/>
          <w:lang w:eastAsia="ar-SA"/>
        </w:rPr>
        <w:t>проводити дії щодо забезпечення реалізації акціонерами свого переважного права на придбання акцій, стосовно яких прийнято рішення про розміщення;</w:t>
      </w:r>
    </w:p>
    <w:p w:rsidR="007E089C" w:rsidRPr="00C20E09" w:rsidRDefault="007E089C" w:rsidP="007E089C">
      <w:pPr>
        <w:numPr>
          <w:ilvl w:val="0"/>
          <w:numId w:val="35"/>
        </w:numPr>
        <w:tabs>
          <w:tab w:val="left" w:pos="360"/>
          <w:tab w:val="left" w:pos="540"/>
        </w:tabs>
        <w:ind w:left="0" w:firstLine="0"/>
        <w:jc w:val="both"/>
        <w:rPr>
          <w:rFonts w:eastAsia="Calibri"/>
          <w:lang w:eastAsia="ar-SA"/>
        </w:rPr>
      </w:pPr>
      <w:r w:rsidRPr="00C20E09">
        <w:rPr>
          <w:rFonts w:eastAsia="Calibri"/>
          <w:lang w:eastAsia="ar-SA"/>
        </w:rPr>
        <w:t>проводити дії щодо забезпечення укладення договорів з першими власниками у процесі приватного розміщення акцій;</w:t>
      </w:r>
    </w:p>
    <w:p w:rsidR="007E089C" w:rsidRPr="00C20E09" w:rsidRDefault="007E089C" w:rsidP="007E089C">
      <w:pPr>
        <w:numPr>
          <w:ilvl w:val="0"/>
          <w:numId w:val="35"/>
        </w:numPr>
        <w:tabs>
          <w:tab w:val="left" w:pos="360"/>
          <w:tab w:val="left" w:pos="540"/>
        </w:tabs>
        <w:ind w:left="0" w:firstLine="0"/>
        <w:jc w:val="both"/>
        <w:rPr>
          <w:rFonts w:eastAsia="Calibri"/>
          <w:lang w:eastAsia="ar-SA"/>
        </w:rPr>
      </w:pPr>
      <w:r w:rsidRPr="00C20E09">
        <w:rPr>
          <w:rFonts w:eastAsia="Calibri"/>
          <w:lang w:eastAsia="ar-SA"/>
        </w:rPr>
        <w:t>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p w:rsidR="007E089C" w:rsidRPr="00C20E09" w:rsidRDefault="007E089C" w:rsidP="007E089C">
      <w:pPr>
        <w:tabs>
          <w:tab w:val="left" w:pos="360"/>
          <w:tab w:val="left" w:pos="540"/>
        </w:tabs>
        <w:jc w:val="both"/>
        <w:rPr>
          <w:b/>
          <w:i/>
          <w:u w:val="single"/>
        </w:rPr>
      </w:pPr>
    </w:p>
    <w:p w:rsidR="007E089C" w:rsidRPr="00C20E09" w:rsidRDefault="007E089C" w:rsidP="007E089C">
      <w:pPr>
        <w:jc w:val="both"/>
      </w:pPr>
      <w:r w:rsidRPr="00C20E09">
        <w:rPr>
          <w:b/>
        </w:rPr>
        <w:t xml:space="preserve">  </w:t>
      </w:r>
      <w:r w:rsidRPr="00C20E09">
        <w:t xml:space="preserve">Адреса веб-сайту, на якому розміщена інформація з проектами рішень </w:t>
      </w:r>
      <w:r w:rsidRPr="00C20E09">
        <w:rPr>
          <w:rFonts w:eastAsia="Calibri"/>
          <w:lang w:eastAsia="ar-SA"/>
        </w:rPr>
        <w:t>щодо питань, включених до проекту порядку денного</w:t>
      </w:r>
      <w:r w:rsidRPr="00C20E09">
        <w:t xml:space="preserve"> </w:t>
      </w:r>
      <w:r>
        <w:t>Загальних</w:t>
      </w:r>
      <w:r w:rsidRPr="00C20E09">
        <w:t xml:space="preserve"> зборів акціонерів ПрАТ ФФ «ВІОЛА», а також інформація, зазначена в ч. 4 ст. 35 Закону України «Про акціонерні товариства» -  http://viola.pat.ua.</w:t>
      </w:r>
    </w:p>
    <w:p w:rsidR="00824337" w:rsidRDefault="00824337" w:rsidP="00824337">
      <w:pPr>
        <w:rPr>
          <w:b/>
        </w:rPr>
      </w:pPr>
    </w:p>
    <w:p w:rsidR="007E089C" w:rsidRPr="00C20E09" w:rsidRDefault="00824337" w:rsidP="00824337">
      <w:pPr>
        <w:ind w:firstLine="720"/>
        <w:jc w:val="both"/>
        <w:rPr>
          <w:b/>
        </w:rPr>
      </w:pPr>
      <w:r>
        <w:rPr>
          <w:b/>
        </w:rPr>
        <w:t xml:space="preserve">Повідомлення опубліковано </w:t>
      </w:r>
      <w:r w:rsidRPr="00203892">
        <w:rPr>
          <w:b/>
        </w:rPr>
        <w:t xml:space="preserve">Бюлетені "Відомості Національної комісії з цінних паперів та фондового ринку" </w:t>
      </w:r>
      <w:r w:rsidRPr="00824337">
        <w:rPr>
          <w:b/>
        </w:rPr>
        <w:t xml:space="preserve">  №132 (2885) від 13.07.18р</w:t>
      </w:r>
    </w:p>
    <w:p w:rsidR="007E089C" w:rsidRPr="00C20E09" w:rsidRDefault="007E089C" w:rsidP="007E089C">
      <w:pPr>
        <w:rPr>
          <w:b/>
        </w:rPr>
      </w:pPr>
      <w:r w:rsidRPr="00C20E09">
        <w:rPr>
          <w:b/>
        </w:rPr>
        <w:t xml:space="preserve">                                   </w:t>
      </w:r>
    </w:p>
    <w:p w:rsidR="007E089C" w:rsidRPr="00C20E09" w:rsidRDefault="007E089C" w:rsidP="007E089C">
      <w:pPr>
        <w:rPr>
          <w:b/>
        </w:rPr>
      </w:pPr>
      <w:r w:rsidRPr="00C20E09">
        <w:rPr>
          <w:b/>
        </w:rPr>
        <w:t xml:space="preserve">                    Наглядова рада ПрАТ ФФ «ВІОЛА»</w:t>
      </w:r>
    </w:p>
    <w:p w:rsidR="007E089C" w:rsidRPr="00C20E09" w:rsidRDefault="007E089C" w:rsidP="007E089C">
      <w:pPr>
        <w:rPr>
          <w:b/>
        </w:rPr>
      </w:pPr>
    </w:p>
    <w:p w:rsidR="007E089C" w:rsidRPr="00C20E09" w:rsidRDefault="007E089C" w:rsidP="007E089C">
      <w:pPr>
        <w:rPr>
          <w:b/>
        </w:rPr>
      </w:pPr>
      <w:r w:rsidRPr="00C20E09">
        <w:rPr>
          <w:b/>
        </w:rPr>
        <w:t xml:space="preserve">               </w:t>
      </w:r>
    </w:p>
    <w:sectPr w:rsidR="007E089C" w:rsidRPr="00C20E09" w:rsidSect="00CB37E2">
      <w:footerReference w:type="default" r:id="rId8"/>
      <w:pgSz w:w="11906" w:h="16838"/>
      <w:pgMar w:top="567" w:right="566" w:bottom="142" w:left="851" w:header="720" w:footer="4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11F" w:rsidRDefault="004B111F" w:rsidP="00B909FD">
      <w:r>
        <w:separator/>
      </w:r>
    </w:p>
  </w:endnote>
  <w:endnote w:type="continuationSeparator" w:id="0">
    <w:p w:rsidR="004B111F" w:rsidRDefault="004B111F" w:rsidP="00B9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9FD" w:rsidRPr="00B909FD" w:rsidRDefault="00B909FD">
    <w:pPr>
      <w:pStyle w:val="aa"/>
      <w:jc w:val="center"/>
      <w:rPr>
        <w:sz w:val="16"/>
        <w:szCs w:val="16"/>
      </w:rPr>
    </w:pPr>
    <w:r w:rsidRPr="00B909FD">
      <w:rPr>
        <w:sz w:val="16"/>
        <w:szCs w:val="16"/>
      </w:rPr>
      <w:fldChar w:fldCharType="begin"/>
    </w:r>
    <w:r w:rsidRPr="00B909FD">
      <w:rPr>
        <w:sz w:val="16"/>
        <w:szCs w:val="16"/>
      </w:rPr>
      <w:instrText xml:space="preserve"> PAGE   \* MERGEFORMAT </w:instrText>
    </w:r>
    <w:r w:rsidRPr="00B909FD">
      <w:rPr>
        <w:sz w:val="16"/>
        <w:szCs w:val="16"/>
      </w:rPr>
      <w:fldChar w:fldCharType="separate"/>
    </w:r>
    <w:r w:rsidR="00E87CEE">
      <w:rPr>
        <w:noProof/>
        <w:sz w:val="16"/>
        <w:szCs w:val="16"/>
      </w:rPr>
      <w:t>2</w:t>
    </w:r>
    <w:r w:rsidRPr="00B909FD">
      <w:rPr>
        <w:sz w:val="16"/>
        <w:szCs w:val="16"/>
      </w:rPr>
      <w:fldChar w:fldCharType="end"/>
    </w:r>
  </w:p>
  <w:p w:rsidR="00B909FD" w:rsidRDefault="00B909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11F" w:rsidRDefault="004B111F" w:rsidP="00B909FD">
      <w:r>
        <w:separator/>
      </w:r>
    </w:p>
  </w:footnote>
  <w:footnote w:type="continuationSeparator" w:id="0">
    <w:p w:rsidR="004B111F" w:rsidRDefault="004B111F" w:rsidP="00B90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8AD"/>
    <w:multiLevelType w:val="hybridMultilevel"/>
    <w:tmpl w:val="BE323D84"/>
    <w:lvl w:ilvl="0" w:tplc="08064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8717D"/>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17A2B5E"/>
    <w:multiLevelType w:val="hybridMultilevel"/>
    <w:tmpl w:val="4296F3FC"/>
    <w:lvl w:ilvl="0" w:tplc="2724007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15:restartNumberingAfterBreak="0">
    <w:nsid w:val="12D11B9B"/>
    <w:multiLevelType w:val="multilevel"/>
    <w:tmpl w:val="7DB64FA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150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3A701F"/>
    <w:multiLevelType w:val="multilevel"/>
    <w:tmpl w:val="671E46F4"/>
    <w:lvl w:ilvl="0">
      <w:start w:val="1"/>
      <w:numFmt w:val="decimal"/>
      <w:lvlText w:val="%1."/>
      <w:lvlJc w:val="left"/>
      <w:pPr>
        <w:tabs>
          <w:tab w:val="num" w:pos="1637"/>
        </w:tabs>
        <w:ind w:left="1637"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FDF6D96"/>
    <w:multiLevelType w:val="hybridMultilevel"/>
    <w:tmpl w:val="436E2EA2"/>
    <w:lvl w:ilvl="0" w:tplc="D8E8B83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D06125"/>
    <w:multiLevelType w:val="hybridMultilevel"/>
    <w:tmpl w:val="8AF8C95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E07BE"/>
    <w:multiLevelType w:val="multilevel"/>
    <w:tmpl w:val="BEDCB63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8D777BD"/>
    <w:multiLevelType w:val="hybridMultilevel"/>
    <w:tmpl w:val="E4D2CA72"/>
    <w:lvl w:ilvl="0" w:tplc="08064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1C3F35"/>
    <w:multiLevelType w:val="hybridMultilevel"/>
    <w:tmpl w:val="93CEA8D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3B6F03"/>
    <w:multiLevelType w:val="hybridMultilevel"/>
    <w:tmpl w:val="C41E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B7878"/>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F6B6B7A"/>
    <w:multiLevelType w:val="hybridMultilevel"/>
    <w:tmpl w:val="F99C840C"/>
    <w:lvl w:ilvl="0" w:tplc="50925C78">
      <w:start w:val="2"/>
      <w:numFmt w:val="bullet"/>
      <w:lvlText w:val="-"/>
      <w:lvlJc w:val="left"/>
      <w:pPr>
        <w:tabs>
          <w:tab w:val="num" w:pos="720"/>
        </w:tabs>
        <w:ind w:left="720" w:hanging="360"/>
      </w:pPr>
      <w:rPr>
        <w:rFonts w:ascii="Bookman Old Style" w:eastAsia="Times New Roman" w:hAnsi="Bookman Old Style" w:cs="Times New Roman" w:hint="default"/>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E7C53"/>
    <w:multiLevelType w:val="hybridMultilevel"/>
    <w:tmpl w:val="D5E41CDC"/>
    <w:lvl w:ilvl="0" w:tplc="FB7A1F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B404B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78005B"/>
    <w:multiLevelType w:val="hybridMultilevel"/>
    <w:tmpl w:val="E5AA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B83CFC"/>
    <w:multiLevelType w:val="hybridMultilevel"/>
    <w:tmpl w:val="F0DCA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1B2B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287796"/>
    <w:multiLevelType w:val="hybridMultilevel"/>
    <w:tmpl w:val="5CFA6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E302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2127DF"/>
    <w:multiLevelType w:val="hybridMultilevel"/>
    <w:tmpl w:val="17CAFAFA"/>
    <w:lvl w:ilvl="0" w:tplc="B664A010">
      <w:numFmt w:val="bullet"/>
      <w:lvlText w:val="-"/>
      <w:lvlJc w:val="left"/>
      <w:pPr>
        <w:ind w:left="1069" w:hanging="360"/>
      </w:pPr>
      <w:rPr>
        <w:rFonts w:ascii="Bookman Old Style" w:eastAsia="Times New Roman"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94C4A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BB65CD"/>
    <w:multiLevelType w:val="hybridMultilevel"/>
    <w:tmpl w:val="686EE268"/>
    <w:lvl w:ilvl="0" w:tplc="50925C78">
      <w:start w:val="2"/>
      <w:numFmt w:val="bullet"/>
      <w:lvlText w:val="-"/>
      <w:lvlJc w:val="left"/>
      <w:pPr>
        <w:ind w:left="1080" w:hanging="360"/>
      </w:pPr>
      <w:rPr>
        <w:rFonts w:ascii="Bookman Old Style" w:eastAsia="Times New Roman" w:hAnsi="Bookman Old Style" w:cs="Times New Roman" w:hint="default"/>
        <w:i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9CA38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617AAA"/>
    <w:multiLevelType w:val="hybridMultilevel"/>
    <w:tmpl w:val="6B484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9461AA"/>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71E36F4A"/>
    <w:multiLevelType w:val="hybridMultilevel"/>
    <w:tmpl w:val="F692D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3D60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B011FC"/>
    <w:multiLevelType w:val="hybridMultilevel"/>
    <w:tmpl w:val="8E8C2282"/>
    <w:lvl w:ilvl="0" w:tplc="5A74B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9EC14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0765CC"/>
    <w:multiLevelType w:val="hybridMultilevel"/>
    <w:tmpl w:val="CED410C2"/>
    <w:lvl w:ilvl="0" w:tplc="74D45CA6">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C7E3699"/>
    <w:multiLevelType w:val="hybridMultilevel"/>
    <w:tmpl w:val="A706175E"/>
    <w:lvl w:ilvl="0" w:tplc="B20E4B06">
      <w:start w:val="1"/>
      <w:numFmt w:val="decimal"/>
      <w:lvlText w:val="%1."/>
      <w:lvlJc w:val="left"/>
      <w:pPr>
        <w:ind w:left="2204" w:hanging="360"/>
      </w:pPr>
      <w:rPr>
        <w:rFonts w:hint="default"/>
        <w:b w:val="0"/>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12"/>
  </w:num>
  <w:num w:numId="2">
    <w:abstractNumId w:val="26"/>
  </w:num>
  <w:num w:numId="3">
    <w:abstractNumId w:val="1"/>
  </w:num>
  <w:num w:numId="4">
    <w:abstractNumId w:val="8"/>
  </w:num>
  <w:num w:numId="5">
    <w:abstractNumId w:val="28"/>
  </w:num>
  <w:num w:numId="6">
    <w:abstractNumId w:val="24"/>
  </w:num>
  <w:num w:numId="7">
    <w:abstractNumId w:val="20"/>
  </w:num>
  <w:num w:numId="8">
    <w:abstractNumId w:val="18"/>
  </w:num>
  <w:num w:numId="9">
    <w:abstractNumId w:val="22"/>
  </w:num>
  <w:num w:numId="10">
    <w:abstractNumId w:val="15"/>
  </w:num>
  <w:num w:numId="11">
    <w:abstractNumId w:val="30"/>
  </w:num>
  <w:num w:numId="12">
    <w:abstractNumId w:val="4"/>
  </w:num>
  <w:num w:numId="13">
    <w:abstractNumId w:val="19"/>
  </w:num>
  <w:num w:numId="14">
    <w:abstractNumId w:val="10"/>
  </w:num>
  <w:num w:numId="15">
    <w:abstractNumId w:val="16"/>
  </w:num>
  <w:num w:numId="16">
    <w:abstractNumId w:val="21"/>
  </w:num>
  <w:num w:numId="17">
    <w:abstractNumId w:val="27"/>
  </w:num>
  <w:num w:numId="18">
    <w:abstractNumId w:val="6"/>
  </w:num>
  <w:num w:numId="19">
    <w:abstractNumId w:val="31"/>
  </w:num>
  <w:num w:numId="20">
    <w:abstractNumId w:val="32"/>
  </w:num>
  <w:num w:numId="21">
    <w:abstractNumId w:val="17"/>
  </w:num>
  <w:num w:numId="22">
    <w:abstractNumId w:val="7"/>
  </w:num>
  <w:num w:numId="23">
    <w:abstractNumId w:val="13"/>
  </w:num>
  <w:num w:numId="24">
    <w:abstractNumId w:val="23"/>
  </w:num>
  <w:num w:numId="25">
    <w:abstractNumId w:val="1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
  </w:num>
  <w:num w:numId="29">
    <w:abstractNumId w:val="2"/>
  </w:num>
  <w:num w:numId="30">
    <w:abstractNumId w:val="5"/>
  </w:num>
  <w:num w:numId="31">
    <w:abstractNumId w:val="3"/>
  </w:num>
  <w:num w:numId="32">
    <w:abstractNumId w:val="29"/>
  </w:num>
  <w:num w:numId="33">
    <w:abstractNumId w:val="25"/>
  </w:num>
  <w:num w:numId="34">
    <w:abstractNumId w:val="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54"/>
    <w:rsid w:val="000207D3"/>
    <w:rsid w:val="000252DF"/>
    <w:rsid w:val="00026BAC"/>
    <w:rsid w:val="00030F06"/>
    <w:rsid w:val="0003194B"/>
    <w:rsid w:val="00034EF2"/>
    <w:rsid w:val="00050A82"/>
    <w:rsid w:val="00051B80"/>
    <w:rsid w:val="0006552E"/>
    <w:rsid w:val="0006605D"/>
    <w:rsid w:val="000977EF"/>
    <w:rsid w:val="000B1DA8"/>
    <w:rsid w:val="000B2BFB"/>
    <w:rsid w:val="000B6605"/>
    <w:rsid w:val="000C6651"/>
    <w:rsid w:val="000C7EB3"/>
    <w:rsid w:val="000D6EB9"/>
    <w:rsid w:val="000F3E77"/>
    <w:rsid w:val="000F44E1"/>
    <w:rsid w:val="000F624F"/>
    <w:rsid w:val="001040F8"/>
    <w:rsid w:val="00136552"/>
    <w:rsid w:val="001461A7"/>
    <w:rsid w:val="00155F3D"/>
    <w:rsid w:val="00157287"/>
    <w:rsid w:val="00161A7F"/>
    <w:rsid w:val="00164683"/>
    <w:rsid w:val="001667F6"/>
    <w:rsid w:val="001739D7"/>
    <w:rsid w:val="001773EC"/>
    <w:rsid w:val="001818AE"/>
    <w:rsid w:val="001A36E5"/>
    <w:rsid w:val="001B1B8A"/>
    <w:rsid w:val="001B4684"/>
    <w:rsid w:val="001C46DB"/>
    <w:rsid w:val="001C5E19"/>
    <w:rsid w:val="001C6137"/>
    <w:rsid w:val="001D0626"/>
    <w:rsid w:val="001D5AEC"/>
    <w:rsid w:val="001E587B"/>
    <w:rsid w:val="001F635D"/>
    <w:rsid w:val="00212D01"/>
    <w:rsid w:val="002200DA"/>
    <w:rsid w:val="00233942"/>
    <w:rsid w:val="00236DB5"/>
    <w:rsid w:val="00242ADB"/>
    <w:rsid w:val="002443AC"/>
    <w:rsid w:val="002512A9"/>
    <w:rsid w:val="002540BD"/>
    <w:rsid w:val="00276A81"/>
    <w:rsid w:val="002827FA"/>
    <w:rsid w:val="002C626E"/>
    <w:rsid w:val="002C7565"/>
    <w:rsid w:val="002D12D5"/>
    <w:rsid w:val="002D3C94"/>
    <w:rsid w:val="002D51A6"/>
    <w:rsid w:val="002F3C40"/>
    <w:rsid w:val="00304395"/>
    <w:rsid w:val="00322B00"/>
    <w:rsid w:val="00341B30"/>
    <w:rsid w:val="00344C8F"/>
    <w:rsid w:val="00351444"/>
    <w:rsid w:val="00353ADB"/>
    <w:rsid w:val="0036039B"/>
    <w:rsid w:val="0036372E"/>
    <w:rsid w:val="00381A0A"/>
    <w:rsid w:val="003828E8"/>
    <w:rsid w:val="003875D5"/>
    <w:rsid w:val="00396A40"/>
    <w:rsid w:val="003A032E"/>
    <w:rsid w:val="003A2C4F"/>
    <w:rsid w:val="003B4C28"/>
    <w:rsid w:val="003D6FE3"/>
    <w:rsid w:val="003E370B"/>
    <w:rsid w:val="003E4368"/>
    <w:rsid w:val="003E697D"/>
    <w:rsid w:val="003F0C93"/>
    <w:rsid w:val="0041541C"/>
    <w:rsid w:val="004162D2"/>
    <w:rsid w:val="004211AC"/>
    <w:rsid w:val="00425559"/>
    <w:rsid w:val="00430E2C"/>
    <w:rsid w:val="0043109A"/>
    <w:rsid w:val="00437903"/>
    <w:rsid w:val="00443C31"/>
    <w:rsid w:val="00444991"/>
    <w:rsid w:val="0044586F"/>
    <w:rsid w:val="00445F26"/>
    <w:rsid w:val="00450081"/>
    <w:rsid w:val="00454068"/>
    <w:rsid w:val="004549E7"/>
    <w:rsid w:val="00454B1A"/>
    <w:rsid w:val="00457238"/>
    <w:rsid w:val="00471BD2"/>
    <w:rsid w:val="00496AB2"/>
    <w:rsid w:val="004A2C73"/>
    <w:rsid w:val="004B111F"/>
    <w:rsid w:val="004B3716"/>
    <w:rsid w:val="004C1D5F"/>
    <w:rsid w:val="004D4776"/>
    <w:rsid w:val="004E0C47"/>
    <w:rsid w:val="004E1344"/>
    <w:rsid w:val="004F4B2E"/>
    <w:rsid w:val="00503DAA"/>
    <w:rsid w:val="005118A5"/>
    <w:rsid w:val="00521A56"/>
    <w:rsid w:val="00527608"/>
    <w:rsid w:val="00532072"/>
    <w:rsid w:val="00535286"/>
    <w:rsid w:val="00541E7C"/>
    <w:rsid w:val="00543D79"/>
    <w:rsid w:val="005554B7"/>
    <w:rsid w:val="005836D3"/>
    <w:rsid w:val="00586937"/>
    <w:rsid w:val="00595D2D"/>
    <w:rsid w:val="005A19E4"/>
    <w:rsid w:val="005A22E1"/>
    <w:rsid w:val="005A5F7E"/>
    <w:rsid w:val="005A7F96"/>
    <w:rsid w:val="005B0E58"/>
    <w:rsid w:val="005B7D80"/>
    <w:rsid w:val="005D50D6"/>
    <w:rsid w:val="005D52A8"/>
    <w:rsid w:val="005D7CAA"/>
    <w:rsid w:val="005E13F3"/>
    <w:rsid w:val="005F5C70"/>
    <w:rsid w:val="00602A23"/>
    <w:rsid w:val="006223DD"/>
    <w:rsid w:val="00625ABC"/>
    <w:rsid w:val="006279BE"/>
    <w:rsid w:val="00633391"/>
    <w:rsid w:val="00635092"/>
    <w:rsid w:val="00645E90"/>
    <w:rsid w:val="00664BD0"/>
    <w:rsid w:val="0068381C"/>
    <w:rsid w:val="00695CB9"/>
    <w:rsid w:val="00697CC9"/>
    <w:rsid w:val="006A10BD"/>
    <w:rsid w:val="006A59B2"/>
    <w:rsid w:val="006B39B5"/>
    <w:rsid w:val="006C0879"/>
    <w:rsid w:val="006C17DD"/>
    <w:rsid w:val="006C1B41"/>
    <w:rsid w:val="006C3B12"/>
    <w:rsid w:val="006D2354"/>
    <w:rsid w:val="00710FC0"/>
    <w:rsid w:val="007176FE"/>
    <w:rsid w:val="00720071"/>
    <w:rsid w:val="007214E6"/>
    <w:rsid w:val="00725263"/>
    <w:rsid w:val="0072545F"/>
    <w:rsid w:val="0072752F"/>
    <w:rsid w:val="00745D4F"/>
    <w:rsid w:val="0074628F"/>
    <w:rsid w:val="007503C1"/>
    <w:rsid w:val="00757273"/>
    <w:rsid w:val="00780E96"/>
    <w:rsid w:val="00785844"/>
    <w:rsid w:val="007978CA"/>
    <w:rsid w:val="007D0EE1"/>
    <w:rsid w:val="007D2F7A"/>
    <w:rsid w:val="007E089C"/>
    <w:rsid w:val="008063D8"/>
    <w:rsid w:val="00813E40"/>
    <w:rsid w:val="00821BDD"/>
    <w:rsid w:val="00824337"/>
    <w:rsid w:val="00831944"/>
    <w:rsid w:val="008324DE"/>
    <w:rsid w:val="00836C54"/>
    <w:rsid w:val="0084128D"/>
    <w:rsid w:val="00841DD8"/>
    <w:rsid w:val="00850D24"/>
    <w:rsid w:val="00863DED"/>
    <w:rsid w:val="0086588D"/>
    <w:rsid w:val="00866392"/>
    <w:rsid w:val="00866BF9"/>
    <w:rsid w:val="00876F0C"/>
    <w:rsid w:val="00883A4A"/>
    <w:rsid w:val="0088599F"/>
    <w:rsid w:val="0089129F"/>
    <w:rsid w:val="008A06B5"/>
    <w:rsid w:val="008A375B"/>
    <w:rsid w:val="008A4148"/>
    <w:rsid w:val="008A688E"/>
    <w:rsid w:val="008B005A"/>
    <w:rsid w:val="008B1BF6"/>
    <w:rsid w:val="008B331C"/>
    <w:rsid w:val="008C11B5"/>
    <w:rsid w:val="008C234F"/>
    <w:rsid w:val="008C3C54"/>
    <w:rsid w:val="008D14CF"/>
    <w:rsid w:val="008D20E2"/>
    <w:rsid w:val="008F19CE"/>
    <w:rsid w:val="008F6442"/>
    <w:rsid w:val="009139DE"/>
    <w:rsid w:val="00917FA5"/>
    <w:rsid w:val="009210B2"/>
    <w:rsid w:val="00931DB3"/>
    <w:rsid w:val="00935BB6"/>
    <w:rsid w:val="009411AC"/>
    <w:rsid w:val="00942F1E"/>
    <w:rsid w:val="00947C87"/>
    <w:rsid w:val="009508E5"/>
    <w:rsid w:val="0096193B"/>
    <w:rsid w:val="009674CB"/>
    <w:rsid w:val="009705D9"/>
    <w:rsid w:val="00974892"/>
    <w:rsid w:val="00990D05"/>
    <w:rsid w:val="00993F77"/>
    <w:rsid w:val="009A1438"/>
    <w:rsid w:val="009A5E20"/>
    <w:rsid w:val="009C3F37"/>
    <w:rsid w:val="009D18C7"/>
    <w:rsid w:val="009D1DE5"/>
    <w:rsid w:val="009D4C6A"/>
    <w:rsid w:val="009E02B0"/>
    <w:rsid w:val="009F2558"/>
    <w:rsid w:val="00A0595E"/>
    <w:rsid w:val="00A125F8"/>
    <w:rsid w:val="00A2589B"/>
    <w:rsid w:val="00A274BE"/>
    <w:rsid w:val="00A2752C"/>
    <w:rsid w:val="00A33342"/>
    <w:rsid w:val="00A3412E"/>
    <w:rsid w:val="00A34EF9"/>
    <w:rsid w:val="00A409AD"/>
    <w:rsid w:val="00A4435B"/>
    <w:rsid w:val="00A46D52"/>
    <w:rsid w:val="00A57CBB"/>
    <w:rsid w:val="00A606F2"/>
    <w:rsid w:val="00A61BAF"/>
    <w:rsid w:val="00A65EE9"/>
    <w:rsid w:val="00A67C8E"/>
    <w:rsid w:val="00A736FC"/>
    <w:rsid w:val="00A77D17"/>
    <w:rsid w:val="00A80AFE"/>
    <w:rsid w:val="00A80D77"/>
    <w:rsid w:val="00A81F85"/>
    <w:rsid w:val="00A87F63"/>
    <w:rsid w:val="00A90B75"/>
    <w:rsid w:val="00AA513E"/>
    <w:rsid w:val="00AA5E8E"/>
    <w:rsid w:val="00AB2F73"/>
    <w:rsid w:val="00AE0A2E"/>
    <w:rsid w:val="00AE4893"/>
    <w:rsid w:val="00AE664A"/>
    <w:rsid w:val="00B02D32"/>
    <w:rsid w:val="00B042CF"/>
    <w:rsid w:val="00B06CA3"/>
    <w:rsid w:val="00B1747C"/>
    <w:rsid w:val="00B43D45"/>
    <w:rsid w:val="00B50D27"/>
    <w:rsid w:val="00B510D4"/>
    <w:rsid w:val="00B5172B"/>
    <w:rsid w:val="00B55C8C"/>
    <w:rsid w:val="00B578A6"/>
    <w:rsid w:val="00B57B46"/>
    <w:rsid w:val="00B61749"/>
    <w:rsid w:val="00B62330"/>
    <w:rsid w:val="00B63690"/>
    <w:rsid w:val="00B74EF4"/>
    <w:rsid w:val="00B85AC1"/>
    <w:rsid w:val="00B909FD"/>
    <w:rsid w:val="00BB47E6"/>
    <w:rsid w:val="00BC1870"/>
    <w:rsid w:val="00BC246E"/>
    <w:rsid w:val="00BC6C23"/>
    <w:rsid w:val="00BD7B62"/>
    <w:rsid w:val="00BF13B9"/>
    <w:rsid w:val="00C00C05"/>
    <w:rsid w:val="00C071EB"/>
    <w:rsid w:val="00C21D67"/>
    <w:rsid w:val="00C26CBC"/>
    <w:rsid w:val="00C317E3"/>
    <w:rsid w:val="00C327AC"/>
    <w:rsid w:val="00C35FE2"/>
    <w:rsid w:val="00C3790A"/>
    <w:rsid w:val="00C43FB2"/>
    <w:rsid w:val="00C4673D"/>
    <w:rsid w:val="00C52D5E"/>
    <w:rsid w:val="00C571A9"/>
    <w:rsid w:val="00C60185"/>
    <w:rsid w:val="00C61058"/>
    <w:rsid w:val="00C8449A"/>
    <w:rsid w:val="00C84556"/>
    <w:rsid w:val="00C8745B"/>
    <w:rsid w:val="00CA08B6"/>
    <w:rsid w:val="00CB1E06"/>
    <w:rsid w:val="00CB37E2"/>
    <w:rsid w:val="00CD4E0B"/>
    <w:rsid w:val="00CD6C25"/>
    <w:rsid w:val="00CF3600"/>
    <w:rsid w:val="00D10DEF"/>
    <w:rsid w:val="00D14D53"/>
    <w:rsid w:val="00D202A8"/>
    <w:rsid w:val="00D2550A"/>
    <w:rsid w:val="00D33751"/>
    <w:rsid w:val="00D34084"/>
    <w:rsid w:val="00D46075"/>
    <w:rsid w:val="00D60FAD"/>
    <w:rsid w:val="00D71E78"/>
    <w:rsid w:val="00D74DCC"/>
    <w:rsid w:val="00D763FF"/>
    <w:rsid w:val="00D815D3"/>
    <w:rsid w:val="00D83320"/>
    <w:rsid w:val="00D86081"/>
    <w:rsid w:val="00D8640D"/>
    <w:rsid w:val="00D94765"/>
    <w:rsid w:val="00DA00DE"/>
    <w:rsid w:val="00DA2EDE"/>
    <w:rsid w:val="00DB3E38"/>
    <w:rsid w:val="00DC7F9F"/>
    <w:rsid w:val="00DD4A52"/>
    <w:rsid w:val="00DE152C"/>
    <w:rsid w:val="00DF7684"/>
    <w:rsid w:val="00E05591"/>
    <w:rsid w:val="00E10B4C"/>
    <w:rsid w:val="00E13CCE"/>
    <w:rsid w:val="00E34F61"/>
    <w:rsid w:val="00E35FD5"/>
    <w:rsid w:val="00E360CA"/>
    <w:rsid w:val="00E55091"/>
    <w:rsid w:val="00E6587D"/>
    <w:rsid w:val="00E87CEE"/>
    <w:rsid w:val="00E95429"/>
    <w:rsid w:val="00EA7B7D"/>
    <w:rsid w:val="00EA7E20"/>
    <w:rsid w:val="00EC315D"/>
    <w:rsid w:val="00ED6F51"/>
    <w:rsid w:val="00EE6D30"/>
    <w:rsid w:val="00EE6FBD"/>
    <w:rsid w:val="00EF6C08"/>
    <w:rsid w:val="00EF6C8F"/>
    <w:rsid w:val="00F018AA"/>
    <w:rsid w:val="00F05EF8"/>
    <w:rsid w:val="00F214B7"/>
    <w:rsid w:val="00F338F5"/>
    <w:rsid w:val="00F41962"/>
    <w:rsid w:val="00F43A3E"/>
    <w:rsid w:val="00F46513"/>
    <w:rsid w:val="00F53E25"/>
    <w:rsid w:val="00F67496"/>
    <w:rsid w:val="00F71596"/>
    <w:rsid w:val="00F72CB4"/>
    <w:rsid w:val="00F75B63"/>
    <w:rsid w:val="00F907E9"/>
    <w:rsid w:val="00F93209"/>
    <w:rsid w:val="00FA2365"/>
    <w:rsid w:val="00FA67A9"/>
    <w:rsid w:val="00FB4235"/>
    <w:rsid w:val="00FC7D44"/>
    <w:rsid w:val="00FD7191"/>
    <w:rsid w:val="00FF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94988F-D0EB-437F-94C6-A03DC9BE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qFormat/>
    <w:pPr>
      <w:keepNext/>
      <w:outlineLvl w:val="0"/>
    </w:pPr>
    <w:rPr>
      <w:sz w:val="24"/>
    </w:rPr>
  </w:style>
  <w:style w:type="paragraph" w:styleId="2">
    <w:name w:val="heading 2"/>
    <w:basedOn w:val="a"/>
    <w:next w:val="a"/>
    <w:qFormat/>
    <w:pPr>
      <w:keepNext/>
      <w:jc w:val="center"/>
      <w:outlineLvl w:val="1"/>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4"/>
    </w:rPr>
  </w:style>
  <w:style w:type="paragraph" w:styleId="a5">
    <w:name w:val="No Spacing"/>
    <w:uiPriority w:val="1"/>
    <w:qFormat/>
    <w:rsid w:val="00521A56"/>
    <w:pPr>
      <w:suppressAutoHyphens/>
    </w:pPr>
    <w:rPr>
      <w:rFonts w:ascii="Calibri" w:eastAsia="Calibri" w:hAnsi="Calibri" w:cs="Calibri"/>
      <w:sz w:val="22"/>
      <w:szCs w:val="22"/>
      <w:lang w:eastAsia="ar-SA"/>
    </w:rPr>
  </w:style>
  <w:style w:type="paragraph" w:styleId="a6">
    <w:name w:val="Title"/>
    <w:basedOn w:val="a"/>
    <w:link w:val="a7"/>
    <w:uiPriority w:val="10"/>
    <w:qFormat/>
    <w:rsid w:val="008A06B5"/>
    <w:pPr>
      <w:jc w:val="center"/>
    </w:pPr>
    <w:rPr>
      <w:sz w:val="24"/>
      <w:szCs w:val="24"/>
      <w:lang w:val="ru-RU"/>
    </w:rPr>
  </w:style>
  <w:style w:type="character" w:customStyle="1" w:styleId="a7">
    <w:name w:val="Название Знак"/>
    <w:link w:val="a6"/>
    <w:uiPriority w:val="10"/>
    <w:rsid w:val="008A06B5"/>
    <w:rPr>
      <w:sz w:val="24"/>
      <w:szCs w:val="24"/>
    </w:rPr>
  </w:style>
  <w:style w:type="paragraph" w:styleId="a8">
    <w:name w:val="header"/>
    <w:basedOn w:val="a"/>
    <w:link w:val="a9"/>
    <w:rsid w:val="00B909FD"/>
    <w:pPr>
      <w:tabs>
        <w:tab w:val="center" w:pos="4677"/>
        <w:tab w:val="right" w:pos="9355"/>
      </w:tabs>
    </w:pPr>
  </w:style>
  <w:style w:type="character" w:customStyle="1" w:styleId="a9">
    <w:name w:val="Верхний колонтитул Знак"/>
    <w:link w:val="a8"/>
    <w:rsid w:val="00B909FD"/>
    <w:rPr>
      <w:lang w:val="uk-UA"/>
    </w:rPr>
  </w:style>
  <w:style w:type="paragraph" w:styleId="aa">
    <w:name w:val="footer"/>
    <w:basedOn w:val="a"/>
    <w:link w:val="ab"/>
    <w:uiPriority w:val="99"/>
    <w:rsid w:val="00B909FD"/>
    <w:pPr>
      <w:tabs>
        <w:tab w:val="center" w:pos="4677"/>
        <w:tab w:val="right" w:pos="9355"/>
      </w:tabs>
    </w:pPr>
  </w:style>
  <w:style w:type="character" w:customStyle="1" w:styleId="ab">
    <w:name w:val="Нижний колонтитул Знак"/>
    <w:link w:val="aa"/>
    <w:uiPriority w:val="99"/>
    <w:rsid w:val="00B909FD"/>
    <w:rPr>
      <w:lang w:val="uk-UA"/>
    </w:rPr>
  </w:style>
  <w:style w:type="paragraph" w:styleId="ac">
    <w:name w:val="Normal (Web)"/>
    <w:basedOn w:val="a"/>
    <w:unhideWhenUsed/>
    <w:rsid w:val="00B57B46"/>
    <w:pPr>
      <w:spacing w:before="100" w:beforeAutospacing="1" w:after="100" w:afterAutospacing="1"/>
    </w:pPr>
    <w:rPr>
      <w:sz w:val="24"/>
      <w:szCs w:val="24"/>
      <w:lang w:val="ru-RU"/>
    </w:rPr>
  </w:style>
  <w:style w:type="paragraph" w:styleId="ad">
    <w:name w:val="List Paragraph"/>
    <w:basedOn w:val="a"/>
    <w:uiPriority w:val="34"/>
    <w:qFormat/>
    <w:rsid w:val="004F4B2E"/>
    <w:pPr>
      <w:ind w:left="720"/>
      <w:contextualSpacing/>
    </w:pPr>
  </w:style>
  <w:style w:type="character" w:customStyle="1" w:styleId="hps">
    <w:name w:val="hps"/>
    <w:basedOn w:val="a0"/>
    <w:rsid w:val="004F4B2E"/>
  </w:style>
  <w:style w:type="paragraph" w:styleId="3">
    <w:name w:val="Body Text 3"/>
    <w:basedOn w:val="a"/>
    <w:link w:val="30"/>
    <w:rsid w:val="004F4B2E"/>
    <w:pPr>
      <w:spacing w:after="120"/>
    </w:pPr>
    <w:rPr>
      <w:sz w:val="16"/>
      <w:szCs w:val="16"/>
    </w:rPr>
  </w:style>
  <w:style w:type="character" w:customStyle="1" w:styleId="30">
    <w:name w:val="Основной текст 3 Знак"/>
    <w:link w:val="3"/>
    <w:rsid w:val="004F4B2E"/>
    <w:rPr>
      <w:sz w:val="16"/>
      <w:szCs w:val="16"/>
      <w:lang w:val="uk-UA"/>
    </w:rPr>
  </w:style>
  <w:style w:type="character" w:customStyle="1" w:styleId="a4">
    <w:name w:val="Основной текст Знак"/>
    <w:link w:val="a3"/>
    <w:rsid w:val="004E0C47"/>
    <w:rPr>
      <w:sz w:val="24"/>
      <w:lang w:val="uk-UA"/>
    </w:rPr>
  </w:style>
  <w:style w:type="paragraph" w:styleId="ae">
    <w:name w:val="Balloon Text"/>
    <w:basedOn w:val="a"/>
    <w:link w:val="af"/>
    <w:rsid w:val="00C35FE2"/>
    <w:rPr>
      <w:rFonts w:ascii="Segoe UI" w:hAnsi="Segoe UI" w:cs="Segoe UI"/>
      <w:sz w:val="18"/>
      <w:szCs w:val="18"/>
    </w:rPr>
  </w:style>
  <w:style w:type="character" w:customStyle="1" w:styleId="af">
    <w:name w:val="Текст выноски Знак"/>
    <w:basedOn w:val="a0"/>
    <w:link w:val="ae"/>
    <w:rsid w:val="00C35FE2"/>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5580">
      <w:bodyDiv w:val="1"/>
      <w:marLeft w:val="0"/>
      <w:marRight w:val="0"/>
      <w:marTop w:val="0"/>
      <w:marBottom w:val="0"/>
      <w:divBdr>
        <w:top w:val="none" w:sz="0" w:space="0" w:color="auto"/>
        <w:left w:val="none" w:sz="0" w:space="0" w:color="auto"/>
        <w:bottom w:val="none" w:sz="0" w:space="0" w:color="auto"/>
        <w:right w:val="none" w:sz="0" w:space="0" w:color="auto"/>
      </w:divBdr>
    </w:div>
    <w:div w:id="596597047">
      <w:bodyDiv w:val="1"/>
      <w:marLeft w:val="0"/>
      <w:marRight w:val="0"/>
      <w:marTop w:val="0"/>
      <w:marBottom w:val="0"/>
      <w:divBdr>
        <w:top w:val="none" w:sz="0" w:space="0" w:color="auto"/>
        <w:left w:val="none" w:sz="0" w:space="0" w:color="auto"/>
        <w:bottom w:val="none" w:sz="0" w:space="0" w:color="auto"/>
        <w:right w:val="none" w:sz="0" w:space="0" w:color="auto"/>
      </w:divBdr>
    </w:div>
    <w:div w:id="1306543683">
      <w:bodyDiv w:val="1"/>
      <w:marLeft w:val="0"/>
      <w:marRight w:val="0"/>
      <w:marTop w:val="0"/>
      <w:marBottom w:val="0"/>
      <w:divBdr>
        <w:top w:val="none" w:sz="0" w:space="0" w:color="auto"/>
        <w:left w:val="none" w:sz="0" w:space="0" w:color="auto"/>
        <w:bottom w:val="none" w:sz="0" w:space="0" w:color="auto"/>
        <w:right w:val="none" w:sz="0" w:space="0" w:color="auto"/>
      </w:divBdr>
    </w:div>
    <w:div w:id="1642341393">
      <w:bodyDiv w:val="1"/>
      <w:marLeft w:val="0"/>
      <w:marRight w:val="0"/>
      <w:marTop w:val="0"/>
      <w:marBottom w:val="0"/>
      <w:divBdr>
        <w:top w:val="none" w:sz="0" w:space="0" w:color="auto"/>
        <w:left w:val="none" w:sz="0" w:space="0" w:color="auto"/>
        <w:bottom w:val="none" w:sz="0" w:space="0" w:color="auto"/>
        <w:right w:val="none" w:sz="0" w:space="0" w:color="auto"/>
      </w:divBdr>
    </w:div>
    <w:div w:id="18530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2470E-C8F4-4EA5-8E22-F45D6178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Протокол №29</vt:lpstr>
    </vt:vector>
  </TitlesOfParts>
  <Company>Zp-Ag</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№29</dc:title>
  <dc:subject/>
  <dc:creator>Nata</dc:creator>
  <cp:keywords/>
  <cp:lastModifiedBy>Оксана А. Косар</cp:lastModifiedBy>
  <cp:revision>4</cp:revision>
  <cp:lastPrinted>2018-07-11T09:24:00Z</cp:lastPrinted>
  <dcterms:created xsi:type="dcterms:W3CDTF">2018-07-11T09:25:00Z</dcterms:created>
  <dcterms:modified xsi:type="dcterms:W3CDTF">2018-07-13T09:05:00Z</dcterms:modified>
</cp:coreProperties>
</file>