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BC" w:rsidRPr="005643C5" w:rsidRDefault="00F65D08" w:rsidP="00B738D0">
      <w:pPr>
        <w:spacing w:after="0" w:line="240" w:lineRule="auto"/>
        <w:jc w:val="center"/>
        <w:rPr>
          <w:rFonts w:ascii="Times New Roman" w:eastAsia="Times New Roman" w:hAnsi="Times New Roman" w:cs="Times New Roman"/>
          <w:b/>
          <w:sz w:val="24"/>
          <w:szCs w:val="24"/>
          <w:lang w:val="uk-UA" w:eastAsia="ru-RU"/>
        </w:rPr>
      </w:pPr>
      <w:r w:rsidRPr="005643C5">
        <w:rPr>
          <w:rFonts w:ascii="Times New Roman" w:eastAsia="Times New Roman" w:hAnsi="Times New Roman" w:cs="Times New Roman"/>
          <w:b/>
          <w:sz w:val="24"/>
          <w:szCs w:val="24"/>
          <w:lang w:val="uk-UA" w:eastAsia="ru-RU"/>
        </w:rPr>
        <w:t xml:space="preserve">Підсумки голосування на Загальних зборах </w:t>
      </w:r>
      <w:r w:rsidR="001B13D4" w:rsidRPr="005643C5">
        <w:rPr>
          <w:rFonts w:ascii="Times New Roman" w:eastAsia="Times New Roman" w:hAnsi="Times New Roman" w:cs="Times New Roman"/>
          <w:b/>
          <w:sz w:val="24"/>
          <w:szCs w:val="24"/>
          <w:lang w:val="uk-UA" w:eastAsia="ru-RU"/>
        </w:rPr>
        <w:t>акціонерів</w:t>
      </w:r>
      <w:r w:rsidRPr="005643C5">
        <w:rPr>
          <w:rFonts w:ascii="Times New Roman" w:eastAsia="Times New Roman" w:hAnsi="Times New Roman" w:cs="Times New Roman"/>
          <w:b/>
          <w:sz w:val="24"/>
          <w:szCs w:val="24"/>
          <w:lang w:val="uk-UA" w:eastAsia="ru-RU"/>
        </w:rPr>
        <w:t xml:space="preserve"> </w:t>
      </w:r>
    </w:p>
    <w:p w:rsidR="00EF4B5B" w:rsidRPr="005643C5" w:rsidRDefault="00F65D08" w:rsidP="00B738D0">
      <w:pPr>
        <w:spacing w:after="0" w:line="240" w:lineRule="auto"/>
        <w:jc w:val="center"/>
        <w:rPr>
          <w:rFonts w:ascii="Times New Roman" w:eastAsia="Times New Roman" w:hAnsi="Times New Roman" w:cs="Times New Roman"/>
          <w:b/>
          <w:sz w:val="24"/>
          <w:szCs w:val="24"/>
          <w:lang w:val="uk-UA" w:eastAsia="ru-RU"/>
        </w:rPr>
      </w:pPr>
      <w:r w:rsidRPr="005643C5">
        <w:rPr>
          <w:rFonts w:ascii="Times New Roman" w:eastAsia="Times New Roman" w:hAnsi="Times New Roman" w:cs="Times New Roman"/>
          <w:b/>
          <w:sz w:val="24"/>
          <w:szCs w:val="24"/>
          <w:lang w:val="uk-UA" w:eastAsia="ru-RU"/>
        </w:rPr>
        <w:t>ПрАТ ФФ «ВІОЛА»</w:t>
      </w:r>
      <w:r w:rsidR="00EF4B5B" w:rsidRPr="005643C5">
        <w:rPr>
          <w:rFonts w:ascii="Times New Roman" w:hAnsi="Times New Roman" w:cs="Times New Roman"/>
          <w:sz w:val="24"/>
          <w:szCs w:val="24"/>
          <w:lang w:val="uk-UA"/>
        </w:rPr>
        <w:t xml:space="preserve"> </w:t>
      </w:r>
      <w:r w:rsidR="00EF4B5B" w:rsidRPr="005643C5">
        <w:rPr>
          <w:rFonts w:ascii="Times New Roman" w:eastAsia="Times New Roman" w:hAnsi="Times New Roman" w:cs="Times New Roman"/>
          <w:b/>
          <w:sz w:val="24"/>
          <w:szCs w:val="24"/>
          <w:lang w:val="uk-UA" w:eastAsia="ru-RU"/>
        </w:rPr>
        <w:t xml:space="preserve">(код </w:t>
      </w:r>
      <w:r w:rsidR="00A24412" w:rsidRPr="005643C5">
        <w:rPr>
          <w:rFonts w:ascii="Times New Roman" w:eastAsia="Times New Roman" w:hAnsi="Times New Roman" w:cs="Times New Roman"/>
          <w:b/>
          <w:sz w:val="24"/>
          <w:szCs w:val="24"/>
          <w:lang w:val="uk-UA" w:eastAsia="ru-RU"/>
        </w:rPr>
        <w:t>ЄД</w:t>
      </w:r>
      <w:r w:rsidR="00EF4B5B" w:rsidRPr="005643C5">
        <w:rPr>
          <w:rFonts w:ascii="Times New Roman" w:eastAsia="Times New Roman" w:hAnsi="Times New Roman" w:cs="Times New Roman"/>
          <w:b/>
          <w:sz w:val="24"/>
          <w:szCs w:val="24"/>
          <w:lang w:val="uk-UA" w:eastAsia="ru-RU"/>
        </w:rPr>
        <w:t>РПОУ: 01973472)</w:t>
      </w:r>
      <w:r w:rsidR="001B13D4" w:rsidRPr="005643C5">
        <w:rPr>
          <w:rFonts w:ascii="Times New Roman" w:eastAsia="Times New Roman" w:hAnsi="Times New Roman" w:cs="Times New Roman"/>
          <w:b/>
          <w:sz w:val="24"/>
          <w:szCs w:val="24"/>
          <w:lang w:val="uk-UA" w:eastAsia="ru-RU"/>
        </w:rPr>
        <w:t xml:space="preserve">, </w:t>
      </w:r>
    </w:p>
    <w:p w:rsidR="00F65D08" w:rsidRPr="005643C5" w:rsidRDefault="001B13D4" w:rsidP="00B738D0">
      <w:pPr>
        <w:spacing w:after="0" w:line="240" w:lineRule="auto"/>
        <w:jc w:val="center"/>
        <w:rPr>
          <w:rFonts w:ascii="Times New Roman" w:eastAsia="Times New Roman" w:hAnsi="Times New Roman" w:cs="Times New Roman"/>
          <w:b/>
          <w:sz w:val="24"/>
          <w:szCs w:val="24"/>
          <w:lang w:val="uk-UA" w:eastAsia="ru-RU"/>
        </w:rPr>
      </w:pPr>
      <w:r w:rsidRPr="005643C5">
        <w:rPr>
          <w:rFonts w:ascii="Times New Roman" w:eastAsia="Times New Roman" w:hAnsi="Times New Roman" w:cs="Times New Roman"/>
          <w:b/>
          <w:sz w:val="24"/>
          <w:szCs w:val="24"/>
          <w:lang w:val="uk-UA" w:eastAsia="ru-RU"/>
        </w:rPr>
        <w:t xml:space="preserve">що відбулися </w:t>
      </w:r>
      <w:r w:rsidR="001C5436">
        <w:rPr>
          <w:rFonts w:ascii="Times New Roman" w:eastAsia="Times New Roman" w:hAnsi="Times New Roman" w:cs="Times New Roman"/>
          <w:b/>
          <w:sz w:val="24"/>
          <w:szCs w:val="24"/>
          <w:lang w:val="uk-UA" w:eastAsia="ru-RU"/>
        </w:rPr>
        <w:t>19</w:t>
      </w:r>
      <w:r w:rsidRPr="005643C5">
        <w:rPr>
          <w:rFonts w:ascii="Times New Roman" w:eastAsia="Times New Roman" w:hAnsi="Times New Roman" w:cs="Times New Roman"/>
          <w:b/>
          <w:sz w:val="24"/>
          <w:szCs w:val="24"/>
          <w:lang w:val="uk-UA" w:eastAsia="ru-RU"/>
        </w:rPr>
        <w:t>.</w:t>
      </w:r>
      <w:r w:rsidR="00F33FAC" w:rsidRPr="005643C5">
        <w:rPr>
          <w:rFonts w:ascii="Times New Roman" w:eastAsia="Times New Roman" w:hAnsi="Times New Roman" w:cs="Times New Roman"/>
          <w:b/>
          <w:sz w:val="24"/>
          <w:szCs w:val="24"/>
          <w:lang w:val="uk-UA" w:eastAsia="ru-RU"/>
        </w:rPr>
        <w:t>0</w:t>
      </w:r>
      <w:r w:rsidR="001C5436">
        <w:rPr>
          <w:rFonts w:ascii="Times New Roman" w:eastAsia="Times New Roman" w:hAnsi="Times New Roman" w:cs="Times New Roman"/>
          <w:b/>
          <w:sz w:val="24"/>
          <w:szCs w:val="24"/>
          <w:lang w:val="uk-UA" w:eastAsia="ru-RU"/>
        </w:rPr>
        <w:t>9</w:t>
      </w:r>
      <w:r w:rsidRPr="005643C5">
        <w:rPr>
          <w:rFonts w:ascii="Times New Roman" w:eastAsia="Times New Roman" w:hAnsi="Times New Roman" w:cs="Times New Roman"/>
          <w:b/>
          <w:sz w:val="24"/>
          <w:szCs w:val="24"/>
          <w:lang w:val="uk-UA" w:eastAsia="ru-RU"/>
        </w:rPr>
        <w:t>.201</w:t>
      </w:r>
      <w:r w:rsidR="000C3E11" w:rsidRPr="005643C5">
        <w:rPr>
          <w:rFonts w:ascii="Times New Roman" w:eastAsia="Times New Roman" w:hAnsi="Times New Roman" w:cs="Times New Roman"/>
          <w:b/>
          <w:sz w:val="24"/>
          <w:szCs w:val="24"/>
          <w:lang w:val="uk-UA" w:eastAsia="ru-RU"/>
        </w:rPr>
        <w:t>8</w:t>
      </w:r>
      <w:r w:rsidRPr="005643C5">
        <w:rPr>
          <w:rFonts w:ascii="Times New Roman" w:eastAsia="Times New Roman" w:hAnsi="Times New Roman" w:cs="Times New Roman"/>
          <w:b/>
          <w:sz w:val="24"/>
          <w:szCs w:val="24"/>
          <w:lang w:val="uk-UA" w:eastAsia="ru-RU"/>
        </w:rPr>
        <w:t xml:space="preserve"> р.</w:t>
      </w:r>
    </w:p>
    <w:p w:rsidR="00F65D08" w:rsidRDefault="00F65D08" w:rsidP="00B738D0">
      <w:pPr>
        <w:spacing w:after="0" w:line="240" w:lineRule="auto"/>
        <w:jc w:val="both"/>
        <w:rPr>
          <w:rFonts w:ascii="Times New Roman" w:eastAsia="Times New Roman" w:hAnsi="Times New Roman" w:cs="Times New Roman"/>
          <w:b/>
          <w:sz w:val="24"/>
          <w:szCs w:val="24"/>
          <w:lang w:val="uk-UA" w:eastAsia="ru-RU"/>
        </w:rPr>
      </w:pPr>
      <w:r w:rsidRPr="005643C5">
        <w:rPr>
          <w:rFonts w:ascii="Times New Roman" w:eastAsia="Times New Roman" w:hAnsi="Times New Roman" w:cs="Times New Roman"/>
          <w:b/>
          <w:sz w:val="24"/>
          <w:szCs w:val="24"/>
          <w:lang w:val="uk-UA" w:eastAsia="ru-RU"/>
        </w:rPr>
        <w:t xml:space="preserve"> </w:t>
      </w:r>
    </w:p>
    <w:p w:rsidR="00834349" w:rsidRPr="005643C5" w:rsidRDefault="00834349" w:rsidP="00B738D0">
      <w:pPr>
        <w:spacing w:after="0" w:line="240" w:lineRule="auto"/>
        <w:jc w:val="both"/>
        <w:rPr>
          <w:rFonts w:ascii="Times New Roman" w:eastAsia="Times New Roman" w:hAnsi="Times New Roman" w:cs="Times New Roman"/>
          <w:b/>
          <w:sz w:val="24"/>
          <w:szCs w:val="24"/>
          <w:lang w:val="uk-UA" w:eastAsia="ru-RU"/>
        </w:rPr>
      </w:pPr>
    </w:p>
    <w:p w:rsidR="001B13D4" w:rsidRPr="005643C5" w:rsidRDefault="001B13D4" w:rsidP="00B738D0">
      <w:pPr>
        <w:spacing w:after="0" w:line="240" w:lineRule="auto"/>
        <w:contextualSpacing/>
        <w:jc w:val="both"/>
        <w:rPr>
          <w:rFonts w:ascii="Times New Roman" w:eastAsia="Times New Roman" w:hAnsi="Times New Roman" w:cs="Times New Roman"/>
          <w:b/>
          <w:sz w:val="24"/>
          <w:szCs w:val="24"/>
          <w:lang w:val="uk-UA" w:eastAsia="ru-RU"/>
        </w:rPr>
      </w:pPr>
      <w:r w:rsidRPr="005643C5">
        <w:rPr>
          <w:rFonts w:ascii="Times New Roman" w:eastAsia="Times New Roman" w:hAnsi="Times New Roman" w:cs="Times New Roman"/>
          <w:b/>
          <w:sz w:val="24"/>
          <w:szCs w:val="24"/>
          <w:lang w:val="uk-UA" w:eastAsia="ru-RU"/>
        </w:rPr>
        <w:t>Перелік питань:</w:t>
      </w:r>
    </w:p>
    <w:p w:rsidR="004E5F21" w:rsidRPr="00834349" w:rsidRDefault="004E5F21" w:rsidP="00834349">
      <w:pPr>
        <w:pStyle w:val="a3"/>
        <w:numPr>
          <w:ilvl w:val="0"/>
          <w:numId w:val="16"/>
        </w:numPr>
        <w:spacing w:before="100" w:beforeAutospacing="1" w:after="0" w:line="240" w:lineRule="auto"/>
        <w:jc w:val="both"/>
        <w:rPr>
          <w:rFonts w:ascii="Times New Roman" w:eastAsia="Times New Roman" w:hAnsi="Times New Roman" w:cs="Times New Roman"/>
          <w:b/>
          <w:sz w:val="24"/>
          <w:szCs w:val="24"/>
          <w:lang w:val="uk-UA" w:eastAsia="ru-RU"/>
        </w:rPr>
      </w:pPr>
      <w:r w:rsidRPr="00834349">
        <w:rPr>
          <w:rFonts w:ascii="Times New Roman" w:eastAsia="Times New Roman" w:hAnsi="Times New Roman" w:cs="Times New Roman"/>
          <w:b/>
          <w:sz w:val="24"/>
          <w:szCs w:val="24"/>
          <w:lang w:val="uk-UA" w:eastAsia="ru-RU"/>
        </w:rPr>
        <w:t>Обрання лічильної комісії.</w:t>
      </w:r>
    </w:p>
    <w:p w:rsidR="00834349" w:rsidRPr="00834349" w:rsidRDefault="00834349" w:rsidP="00834349">
      <w:pPr>
        <w:pStyle w:val="a3"/>
        <w:spacing w:before="100" w:beforeAutospacing="1" w:after="0" w:line="240" w:lineRule="auto"/>
        <w:jc w:val="both"/>
        <w:rPr>
          <w:rFonts w:ascii="Times New Roman" w:eastAsia="Times New Roman" w:hAnsi="Times New Roman" w:cs="Times New Roman"/>
          <w:b/>
          <w:sz w:val="24"/>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834349" w:rsidRDefault="004E5F21" w:rsidP="001C5436">
      <w:pPr>
        <w:spacing w:after="0" w:line="240" w:lineRule="auto"/>
        <w:contextualSpacing/>
        <w:jc w:val="both"/>
        <w:rPr>
          <w:rFonts w:ascii="Times New Roman" w:eastAsia="Times New Roman" w:hAnsi="Times New Roman" w:cs="Times New Roman"/>
          <w:sz w:val="24"/>
          <w:szCs w:val="24"/>
          <w:lang w:val="uk-UA" w:eastAsia="ru-RU"/>
        </w:rPr>
      </w:pPr>
      <w:r w:rsidRPr="005643C5">
        <w:rPr>
          <w:rFonts w:ascii="Times New Roman" w:eastAsia="Times New Roman" w:hAnsi="Times New Roman" w:cs="Times New Roman"/>
          <w:sz w:val="24"/>
          <w:szCs w:val="24"/>
          <w:lang w:val="uk-UA" w:eastAsia="ru-RU"/>
        </w:rPr>
        <w:t xml:space="preserve">    </w:t>
      </w:r>
    </w:p>
    <w:p w:rsidR="001C5436" w:rsidRPr="00B22F77" w:rsidRDefault="004E5F21" w:rsidP="001C5436">
      <w:pPr>
        <w:spacing w:after="0" w:line="240" w:lineRule="auto"/>
        <w:contextualSpacing/>
        <w:jc w:val="both"/>
        <w:rPr>
          <w:rFonts w:ascii="Times New Roman" w:eastAsia="Times New Roman" w:hAnsi="Times New Roman" w:cs="Times New Roman"/>
          <w:sz w:val="24"/>
          <w:szCs w:val="24"/>
          <w:lang w:val="uk-UA" w:eastAsia="ru-RU"/>
        </w:rPr>
      </w:pPr>
      <w:r w:rsidRPr="005643C5">
        <w:rPr>
          <w:rFonts w:ascii="Times New Roman" w:hAnsi="Times New Roman" w:cs="Times New Roman"/>
          <w:sz w:val="24"/>
          <w:szCs w:val="24"/>
          <w:lang w:val="uk-UA"/>
        </w:rPr>
        <w:t xml:space="preserve">ВИРІШИЛИ: </w:t>
      </w:r>
      <w:r w:rsidR="001C5436" w:rsidRPr="00B22F77">
        <w:rPr>
          <w:rFonts w:ascii="Times New Roman" w:eastAsia="Times New Roman" w:hAnsi="Times New Roman" w:cs="Times New Roman"/>
          <w:sz w:val="24"/>
          <w:szCs w:val="24"/>
          <w:lang w:val="uk-UA" w:eastAsia="ru-RU"/>
        </w:rPr>
        <w:t xml:space="preserve">Обрати лічильну комісію у складі </w:t>
      </w:r>
      <w:proofErr w:type="spellStart"/>
      <w:r w:rsidR="001C5436" w:rsidRPr="00B22F77">
        <w:rPr>
          <w:rFonts w:ascii="Times New Roman" w:eastAsia="Times New Roman" w:hAnsi="Times New Roman" w:cs="Times New Roman"/>
          <w:sz w:val="24"/>
          <w:szCs w:val="24"/>
          <w:lang w:val="uk-UA" w:eastAsia="ru-RU"/>
        </w:rPr>
        <w:t>Твердохліб</w:t>
      </w:r>
      <w:proofErr w:type="spellEnd"/>
      <w:r w:rsidR="001C5436" w:rsidRPr="00B22F77">
        <w:rPr>
          <w:rFonts w:ascii="Times New Roman" w:eastAsia="Times New Roman" w:hAnsi="Times New Roman" w:cs="Times New Roman"/>
          <w:sz w:val="24"/>
          <w:szCs w:val="24"/>
          <w:lang w:val="uk-UA" w:eastAsia="ru-RU"/>
        </w:rPr>
        <w:t xml:space="preserve"> А.А. – голова </w:t>
      </w:r>
      <w:r w:rsidR="001C5436" w:rsidRPr="00B22F77">
        <w:rPr>
          <w:rFonts w:ascii="Times New Roman" w:hAnsi="Times New Roman" w:cs="Times New Roman"/>
          <w:sz w:val="24"/>
          <w:szCs w:val="24"/>
          <w:lang w:val="uk-UA"/>
        </w:rPr>
        <w:t>лічильної</w:t>
      </w:r>
      <w:r w:rsidR="001C5436" w:rsidRPr="00B22F77">
        <w:rPr>
          <w:rFonts w:ascii="Times New Roman" w:eastAsia="Times New Roman" w:hAnsi="Times New Roman" w:cs="Times New Roman"/>
          <w:sz w:val="24"/>
          <w:szCs w:val="24"/>
          <w:lang w:val="uk-UA" w:eastAsia="ru-RU"/>
        </w:rPr>
        <w:t xml:space="preserve"> комісії, </w:t>
      </w:r>
      <w:r w:rsidR="001C5436" w:rsidRPr="00B22F77">
        <w:rPr>
          <w:rFonts w:ascii="Times New Roman" w:hAnsi="Times New Roman" w:cs="Times New Roman"/>
          <w:sz w:val="24"/>
          <w:szCs w:val="24"/>
          <w:lang w:val="uk-UA"/>
        </w:rPr>
        <w:t xml:space="preserve">Борисенко О.В.  </w:t>
      </w:r>
      <w:r w:rsidR="001C5436" w:rsidRPr="00B22F77">
        <w:rPr>
          <w:rFonts w:ascii="Times New Roman" w:eastAsia="Times New Roman" w:hAnsi="Times New Roman" w:cs="Times New Roman"/>
          <w:sz w:val="24"/>
          <w:szCs w:val="24"/>
          <w:lang w:val="uk-UA" w:eastAsia="ru-RU"/>
        </w:rPr>
        <w:t xml:space="preserve">– член </w:t>
      </w:r>
      <w:r w:rsidR="001C5436" w:rsidRPr="00B22F77">
        <w:rPr>
          <w:rFonts w:ascii="Times New Roman" w:hAnsi="Times New Roman" w:cs="Times New Roman"/>
          <w:sz w:val="24"/>
          <w:szCs w:val="24"/>
          <w:lang w:val="uk-UA"/>
        </w:rPr>
        <w:t>лічильної</w:t>
      </w:r>
      <w:r w:rsidR="001C5436" w:rsidRPr="00B22F77">
        <w:rPr>
          <w:rFonts w:ascii="Times New Roman" w:eastAsia="Times New Roman" w:hAnsi="Times New Roman" w:cs="Times New Roman"/>
          <w:sz w:val="24"/>
          <w:szCs w:val="24"/>
          <w:lang w:val="uk-UA" w:eastAsia="ru-RU"/>
        </w:rPr>
        <w:t xml:space="preserve"> комісії для здійснення підрахунку голосів акціонерів під час голосування на Загальних зборах.</w:t>
      </w:r>
    </w:p>
    <w:p w:rsidR="004E5F21" w:rsidRPr="005643C5" w:rsidRDefault="004E5F21" w:rsidP="004E5F21">
      <w:pPr>
        <w:spacing w:after="0" w:line="240" w:lineRule="auto"/>
        <w:jc w:val="both"/>
        <w:rPr>
          <w:rFonts w:ascii="Times New Roman" w:eastAsia="Times New Roman" w:hAnsi="Times New Roman" w:cs="Times New Roman"/>
          <w:b/>
          <w:i/>
          <w:sz w:val="24"/>
          <w:szCs w:val="24"/>
          <w:u w:val="single"/>
          <w:lang w:val="uk-UA" w:eastAsia="ru-RU"/>
        </w:rPr>
      </w:pPr>
    </w:p>
    <w:p w:rsidR="001C5436" w:rsidRDefault="001C5436" w:rsidP="00834349">
      <w:pPr>
        <w:pStyle w:val="a6"/>
        <w:numPr>
          <w:ilvl w:val="0"/>
          <w:numId w:val="16"/>
        </w:numPr>
        <w:shd w:val="clear" w:color="auto" w:fill="FFFFFF"/>
        <w:spacing w:before="0" w:beforeAutospacing="0" w:after="0" w:afterAutospacing="0" w:line="272" w:lineRule="atLeast"/>
        <w:jc w:val="both"/>
        <w:rPr>
          <w:b/>
          <w:bCs/>
          <w:lang w:val="uk-UA"/>
        </w:rPr>
      </w:pPr>
      <w:r w:rsidRPr="001C5436">
        <w:rPr>
          <w:b/>
          <w:lang w:val="uk-UA"/>
        </w:rPr>
        <w:t xml:space="preserve">Відміна рішень, прийнятих на позачергових Загальних зборах акціонерів </w:t>
      </w:r>
      <w:r w:rsidRPr="001C5436">
        <w:rPr>
          <w:b/>
          <w:bCs/>
          <w:lang w:val="uk-UA"/>
        </w:rPr>
        <w:t>ПрАТ ФФ «ВІОЛА», які відбулися «31» липня 2018 року.</w:t>
      </w:r>
    </w:p>
    <w:p w:rsidR="00834349" w:rsidRPr="00847F53" w:rsidRDefault="00834349" w:rsidP="00834349">
      <w:pPr>
        <w:pStyle w:val="a6"/>
        <w:shd w:val="clear" w:color="auto" w:fill="FFFFFF"/>
        <w:spacing w:before="0" w:beforeAutospacing="0" w:after="0" w:afterAutospacing="0" w:line="272" w:lineRule="atLeast"/>
        <w:ind w:left="720"/>
        <w:jc w:val="both"/>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834349" w:rsidRDefault="004E5F21" w:rsidP="001C5436">
      <w:pPr>
        <w:pStyle w:val="a6"/>
        <w:shd w:val="clear" w:color="auto" w:fill="FFFFFF"/>
        <w:tabs>
          <w:tab w:val="num" w:pos="360"/>
        </w:tabs>
        <w:spacing w:before="0" w:beforeAutospacing="0" w:after="0" w:afterAutospacing="0"/>
        <w:jc w:val="both"/>
        <w:rPr>
          <w:lang w:val="uk-UA"/>
        </w:rPr>
      </w:pPr>
      <w:r w:rsidRPr="005643C5">
        <w:rPr>
          <w:lang w:val="uk-UA"/>
        </w:rPr>
        <w:t xml:space="preserve"> </w:t>
      </w:r>
    </w:p>
    <w:p w:rsidR="001C5436" w:rsidRPr="007F35F6" w:rsidRDefault="004E5F21" w:rsidP="001C5436">
      <w:pPr>
        <w:pStyle w:val="a6"/>
        <w:shd w:val="clear" w:color="auto" w:fill="FFFFFF"/>
        <w:tabs>
          <w:tab w:val="num" w:pos="360"/>
        </w:tabs>
        <w:spacing w:before="0" w:beforeAutospacing="0" w:after="0" w:afterAutospacing="0"/>
        <w:jc w:val="both"/>
        <w:rPr>
          <w:bCs/>
          <w:lang w:val="uk-UA"/>
        </w:rPr>
      </w:pPr>
      <w:r w:rsidRPr="005643C5">
        <w:rPr>
          <w:lang w:val="uk-UA"/>
        </w:rPr>
        <w:t xml:space="preserve"> ВИРІШИЛИ: </w:t>
      </w:r>
      <w:r w:rsidR="001C5436" w:rsidRPr="007F35F6">
        <w:rPr>
          <w:lang w:val="uk-UA"/>
        </w:rPr>
        <w:t xml:space="preserve">відмінити рішення, прийняті на позачергових Загальних зборах акціонерів </w:t>
      </w:r>
      <w:r w:rsidR="001C5436" w:rsidRPr="007F35F6">
        <w:rPr>
          <w:bCs/>
          <w:lang w:val="uk-UA"/>
        </w:rPr>
        <w:t>ПрАТ ФФ «ВІОЛА», які відбулися «31» липня 2018 року, по наступним питанням порядку денного:</w:t>
      </w:r>
    </w:p>
    <w:p w:rsidR="001C5436" w:rsidRPr="007F35F6" w:rsidRDefault="001C5436" w:rsidP="001C5436">
      <w:pPr>
        <w:numPr>
          <w:ilvl w:val="0"/>
          <w:numId w:val="13"/>
        </w:numPr>
        <w:suppressAutoHyphens/>
        <w:spacing w:before="100" w:beforeAutospacing="1" w:after="100" w:afterAutospacing="1" w:line="240" w:lineRule="auto"/>
        <w:ind w:left="426"/>
        <w:contextualSpacing/>
        <w:jc w:val="both"/>
        <w:rPr>
          <w:rFonts w:ascii="Times New Roman" w:hAnsi="Times New Roman" w:cs="Times New Roman"/>
          <w:i/>
          <w:sz w:val="24"/>
          <w:szCs w:val="24"/>
          <w:lang w:val="uk-UA"/>
        </w:rPr>
      </w:pPr>
      <w:r w:rsidRPr="007F35F6">
        <w:rPr>
          <w:rFonts w:ascii="Times New Roman" w:hAnsi="Times New Roman" w:cs="Times New Roman"/>
          <w:i/>
          <w:sz w:val="24"/>
          <w:szCs w:val="24"/>
          <w:lang w:val="uk-UA"/>
        </w:rPr>
        <w:t>3. Збільшення статутного капіталу Товариства шляхом приватного розміщення додаткових акцій існуючої номінальної вартості за рахунок додаткових внесків.</w:t>
      </w:r>
    </w:p>
    <w:p w:rsidR="001C5436" w:rsidRPr="007F35F6" w:rsidRDefault="001C5436" w:rsidP="001C5436">
      <w:pPr>
        <w:numPr>
          <w:ilvl w:val="0"/>
          <w:numId w:val="13"/>
        </w:numPr>
        <w:suppressAutoHyphens/>
        <w:spacing w:before="100" w:beforeAutospacing="1" w:after="100" w:afterAutospacing="1" w:line="240" w:lineRule="auto"/>
        <w:ind w:left="426"/>
        <w:jc w:val="both"/>
        <w:rPr>
          <w:rFonts w:ascii="Times New Roman" w:hAnsi="Times New Roman" w:cs="Times New Roman"/>
          <w:i/>
          <w:sz w:val="24"/>
          <w:szCs w:val="24"/>
          <w:lang w:val="uk-UA"/>
        </w:rPr>
      </w:pPr>
      <w:r w:rsidRPr="007F35F6">
        <w:rPr>
          <w:rFonts w:ascii="Times New Roman" w:hAnsi="Times New Roman" w:cs="Times New Roman"/>
          <w:i/>
          <w:sz w:val="24"/>
          <w:szCs w:val="24"/>
          <w:lang w:val="uk-UA"/>
        </w:rPr>
        <w:t>4. Прийняття рішення про приватне розміщення акцій, визначення переліку осіб, які є учасниками приватного розміщення акцій Товариства.</w:t>
      </w:r>
    </w:p>
    <w:p w:rsidR="001C5436" w:rsidRDefault="001C5436" w:rsidP="001C5436">
      <w:pPr>
        <w:numPr>
          <w:ilvl w:val="0"/>
          <w:numId w:val="13"/>
        </w:numPr>
        <w:suppressAutoHyphens/>
        <w:spacing w:before="100" w:beforeAutospacing="1" w:after="100" w:afterAutospacing="1" w:line="240" w:lineRule="auto"/>
        <w:ind w:left="426"/>
        <w:jc w:val="both"/>
        <w:rPr>
          <w:rFonts w:ascii="Times New Roman" w:hAnsi="Times New Roman" w:cs="Times New Roman"/>
          <w:i/>
          <w:sz w:val="24"/>
          <w:szCs w:val="24"/>
          <w:lang w:val="uk-UA"/>
        </w:rPr>
      </w:pPr>
      <w:r w:rsidRPr="007F35F6">
        <w:rPr>
          <w:rFonts w:ascii="Times New Roman" w:hAnsi="Times New Roman" w:cs="Times New Roman"/>
          <w:i/>
          <w:sz w:val="24"/>
          <w:szCs w:val="24"/>
          <w:lang w:val="uk-UA"/>
        </w:rPr>
        <w:t>5. Визначення уповноваженого органу емітента, якому надаються повноваження щодо визначення (затвердження) ціни розміщення акцій під час першого та другого етапів укладення договорів з першими власниками у процесі приватного розміщення акцій.</w:t>
      </w:r>
    </w:p>
    <w:p w:rsidR="001C5436" w:rsidRPr="007F35F6" w:rsidRDefault="001C5436" w:rsidP="001C5436">
      <w:pPr>
        <w:numPr>
          <w:ilvl w:val="0"/>
          <w:numId w:val="13"/>
        </w:numPr>
        <w:suppressAutoHyphens/>
        <w:spacing w:before="100" w:beforeAutospacing="1" w:after="100" w:afterAutospacing="1" w:line="240" w:lineRule="auto"/>
        <w:ind w:left="426"/>
        <w:jc w:val="both"/>
        <w:rPr>
          <w:rFonts w:ascii="Times New Roman" w:hAnsi="Times New Roman" w:cs="Times New Roman"/>
          <w:i/>
          <w:sz w:val="24"/>
          <w:szCs w:val="24"/>
          <w:lang w:val="uk-UA"/>
        </w:rPr>
      </w:pPr>
      <w:r w:rsidRPr="007F35F6">
        <w:rPr>
          <w:rFonts w:ascii="Times New Roman" w:hAnsi="Times New Roman" w:cs="Times New Roman"/>
          <w:i/>
          <w:sz w:val="24"/>
          <w:szCs w:val="24"/>
          <w:lang w:val="uk-UA"/>
        </w:rPr>
        <w:t>6. Визначення уповноваженого органу емітента, якому надаються повноваження проводити дії, пов’язанні з розміщенням акцій Товариства.</w:t>
      </w:r>
    </w:p>
    <w:p w:rsidR="001C5436" w:rsidRPr="00B22F77" w:rsidRDefault="001C5436" w:rsidP="001C5436">
      <w:pPr>
        <w:numPr>
          <w:ilvl w:val="0"/>
          <w:numId w:val="13"/>
        </w:numPr>
        <w:suppressAutoHyphens/>
        <w:spacing w:before="100" w:beforeAutospacing="1" w:after="100" w:afterAutospacing="1" w:line="240" w:lineRule="auto"/>
        <w:ind w:left="426"/>
        <w:contextualSpacing/>
        <w:jc w:val="both"/>
        <w:rPr>
          <w:rFonts w:ascii="Times New Roman" w:hAnsi="Times New Roman" w:cs="Times New Roman"/>
          <w:i/>
          <w:sz w:val="24"/>
          <w:szCs w:val="24"/>
          <w:lang w:val="uk-UA"/>
        </w:rPr>
      </w:pPr>
      <w:r w:rsidRPr="007F35F6">
        <w:rPr>
          <w:rFonts w:ascii="Times New Roman" w:hAnsi="Times New Roman" w:cs="Times New Roman"/>
          <w:i/>
          <w:sz w:val="24"/>
          <w:szCs w:val="24"/>
          <w:lang w:val="uk-UA"/>
        </w:rPr>
        <w:t xml:space="preserve">7. Визначення </w:t>
      </w:r>
      <w:r w:rsidRPr="00B22F77">
        <w:rPr>
          <w:rFonts w:ascii="Times New Roman" w:hAnsi="Times New Roman" w:cs="Times New Roman"/>
          <w:i/>
          <w:sz w:val="24"/>
          <w:szCs w:val="24"/>
          <w:lang w:val="uk-UA"/>
        </w:rPr>
        <w:t>уповноваженої особи емітента, якій надаються повноваження проводити дії, пов’язанні з розміщенням акцій Товариства.</w:t>
      </w:r>
    </w:p>
    <w:p w:rsidR="004E5F21" w:rsidRPr="005643C5" w:rsidRDefault="004E5F21" w:rsidP="004E5F21">
      <w:pPr>
        <w:spacing w:after="0" w:line="240" w:lineRule="auto"/>
        <w:jc w:val="both"/>
        <w:rPr>
          <w:rFonts w:ascii="Times New Roman" w:eastAsia="Times New Roman" w:hAnsi="Times New Roman" w:cs="Times New Roman"/>
          <w:sz w:val="24"/>
          <w:szCs w:val="24"/>
          <w:highlight w:val="yellow"/>
          <w:lang w:val="uk-UA" w:eastAsia="ru-RU"/>
        </w:rPr>
      </w:pPr>
    </w:p>
    <w:p w:rsidR="001C5436" w:rsidRPr="002206F8" w:rsidRDefault="001C5436" w:rsidP="002206F8">
      <w:pPr>
        <w:pStyle w:val="a3"/>
        <w:numPr>
          <w:ilvl w:val="0"/>
          <w:numId w:val="16"/>
        </w:numPr>
        <w:spacing w:after="0" w:line="240" w:lineRule="auto"/>
        <w:jc w:val="both"/>
        <w:rPr>
          <w:rFonts w:ascii="Times New Roman" w:hAnsi="Times New Roman" w:cs="Times New Roman"/>
          <w:b/>
          <w:color w:val="000000" w:themeColor="text1"/>
          <w:sz w:val="24"/>
          <w:szCs w:val="24"/>
          <w:lang w:val="uk-UA"/>
        </w:rPr>
      </w:pPr>
      <w:r w:rsidRPr="002206F8">
        <w:rPr>
          <w:rFonts w:ascii="Times New Roman" w:eastAsia="Calibri" w:hAnsi="Times New Roman" w:cs="Times New Roman"/>
          <w:b/>
          <w:sz w:val="24"/>
          <w:szCs w:val="24"/>
          <w:lang w:val="uk-UA" w:eastAsia="ar-SA"/>
        </w:rPr>
        <w:lastRenderedPageBreak/>
        <w:t>Збільшення статутного капіталу Товариства шляхом додаткової емісії акцій (розміщення додаткових акцій) існуючої номінальної вартості за рахунок додаткових внескі</w:t>
      </w:r>
      <w:r w:rsidRPr="002206F8">
        <w:rPr>
          <w:rFonts w:ascii="Times New Roman" w:eastAsia="Calibri" w:hAnsi="Times New Roman" w:cs="Times New Roman"/>
          <w:b/>
          <w:color w:val="000000" w:themeColor="text1"/>
          <w:sz w:val="24"/>
          <w:szCs w:val="24"/>
          <w:lang w:val="uk-UA" w:eastAsia="ar-SA"/>
        </w:rPr>
        <w:t>в</w:t>
      </w:r>
      <w:r w:rsidRPr="002206F8">
        <w:rPr>
          <w:rFonts w:ascii="Times New Roman" w:hAnsi="Times New Roman" w:cs="Times New Roman"/>
          <w:b/>
          <w:color w:val="000000" w:themeColor="text1"/>
          <w:sz w:val="24"/>
          <w:szCs w:val="24"/>
          <w:lang w:val="uk-UA"/>
        </w:rPr>
        <w:t>.</w:t>
      </w:r>
    </w:p>
    <w:p w:rsidR="002206F8" w:rsidRPr="002206F8" w:rsidRDefault="002206F8" w:rsidP="002206F8">
      <w:pPr>
        <w:pStyle w:val="a3"/>
        <w:spacing w:after="0" w:line="240" w:lineRule="auto"/>
        <w:jc w:val="both"/>
        <w:rPr>
          <w:rFonts w:ascii="Times New Roman" w:hAnsi="Times New Roman" w:cs="Times New Roman"/>
          <w:b/>
          <w:color w:val="800000"/>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2206F8" w:rsidRDefault="001C5436" w:rsidP="001C543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C5436" w:rsidRPr="007E694B" w:rsidRDefault="004E5F21" w:rsidP="001C5436">
      <w:pPr>
        <w:jc w:val="both"/>
        <w:rPr>
          <w:rFonts w:ascii="Times New Roman" w:hAnsi="Times New Roman" w:cs="Times New Roman"/>
          <w:sz w:val="24"/>
          <w:szCs w:val="24"/>
          <w:lang w:val="uk-UA"/>
        </w:rPr>
      </w:pPr>
      <w:r w:rsidRPr="005643C5">
        <w:rPr>
          <w:rFonts w:ascii="Times New Roman" w:hAnsi="Times New Roman" w:cs="Times New Roman"/>
          <w:sz w:val="24"/>
          <w:szCs w:val="24"/>
          <w:lang w:val="uk-UA"/>
        </w:rPr>
        <w:t xml:space="preserve">ВИРІШИЛИ: </w:t>
      </w:r>
      <w:r w:rsidR="001C5436" w:rsidRPr="007E694B">
        <w:rPr>
          <w:rFonts w:ascii="Times New Roman" w:hAnsi="Times New Roman" w:cs="Times New Roman"/>
          <w:sz w:val="24"/>
          <w:szCs w:val="24"/>
          <w:lang w:val="uk-UA"/>
        </w:rPr>
        <w:t xml:space="preserve">Збільшити статутний капітал Товариства на суму </w:t>
      </w:r>
      <w:r w:rsidR="001C5436" w:rsidRPr="007E694B">
        <w:rPr>
          <w:rFonts w:ascii="Times New Roman" w:hAnsi="Times New Roman" w:cs="Times New Roman"/>
          <w:bCs/>
          <w:sz w:val="24"/>
          <w:szCs w:val="24"/>
          <w:lang w:val="uk-UA"/>
        </w:rPr>
        <w:t>6 937 000,00</w:t>
      </w:r>
      <w:r w:rsidR="001C5436" w:rsidRPr="007E694B">
        <w:rPr>
          <w:rFonts w:ascii="Times New Roman" w:hAnsi="Times New Roman" w:cs="Times New Roman"/>
          <w:b/>
          <w:bCs/>
          <w:sz w:val="24"/>
          <w:szCs w:val="24"/>
          <w:lang w:val="uk-UA"/>
        </w:rPr>
        <w:t xml:space="preserve"> </w:t>
      </w:r>
      <w:r w:rsidR="001C5436" w:rsidRPr="007E694B">
        <w:rPr>
          <w:rFonts w:ascii="Times New Roman" w:hAnsi="Times New Roman" w:cs="Times New Roman"/>
          <w:sz w:val="24"/>
          <w:szCs w:val="24"/>
          <w:lang w:val="uk-UA"/>
        </w:rPr>
        <w:t>грн. (Шість мільйонів дев’ятсот тридцять сім тисяч гривень 00 копійок) шляхом розміщення 19 820 (Дев’ятнадцять тисяч вісімсот двадцять) додаткових акцій існуючої номінальної вартості за рахунок додаткових внесків. Після збільшення статутний капітал Товариства становитиме 14 907 550,00грн. (Чотирнадцять мільйонів дев’ятсот сім тисяч п’ятсот п’ятдесят гривень 00 копійок), що складатиме 42 593 (Сорок дві тисячі п’ятсот дев’яносто три) акції.</w:t>
      </w:r>
    </w:p>
    <w:p w:rsidR="004E5F21" w:rsidRPr="002206F8" w:rsidRDefault="001C5436" w:rsidP="002206F8">
      <w:pPr>
        <w:pStyle w:val="a3"/>
        <w:numPr>
          <w:ilvl w:val="0"/>
          <w:numId w:val="16"/>
        </w:numPr>
        <w:spacing w:after="0" w:line="240" w:lineRule="auto"/>
        <w:jc w:val="both"/>
        <w:rPr>
          <w:rFonts w:ascii="Times New Roman" w:hAnsi="Times New Roman" w:cs="Times New Roman"/>
          <w:b/>
          <w:sz w:val="24"/>
          <w:szCs w:val="24"/>
          <w:lang w:val="uk-UA"/>
        </w:rPr>
      </w:pPr>
      <w:r w:rsidRPr="002206F8">
        <w:rPr>
          <w:rFonts w:ascii="Times New Roman" w:hAnsi="Times New Roman" w:cs="Times New Roman"/>
          <w:b/>
          <w:sz w:val="24"/>
          <w:szCs w:val="24"/>
          <w:lang w:val="uk-UA"/>
        </w:rPr>
        <w:t>Прийняття рішення про емісію акцій (із зазначенням учасників розміщення).</w:t>
      </w:r>
    </w:p>
    <w:p w:rsidR="002206F8" w:rsidRPr="002206F8" w:rsidRDefault="002206F8" w:rsidP="002206F8">
      <w:pPr>
        <w:pStyle w:val="a3"/>
        <w:spacing w:after="0" w:line="240" w:lineRule="auto"/>
        <w:jc w:val="both"/>
        <w:rPr>
          <w:rFonts w:ascii="Times New Roman" w:eastAsia="Times New Roman" w:hAnsi="Times New Roman" w:cs="Times New Roman"/>
          <w:b/>
          <w:i/>
          <w:sz w:val="24"/>
          <w:szCs w:val="24"/>
          <w:u w:val="single"/>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2206F8" w:rsidRDefault="001C5436" w:rsidP="001C543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C5436" w:rsidRPr="00B22F77" w:rsidRDefault="004E5F21" w:rsidP="001C5436">
      <w:pPr>
        <w:jc w:val="both"/>
        <w:rPr>
          <w:rFonts w:ascii="Times New Roman" w:hAnsi="Times New Roman" w:cs="Times New Roman"/>
          <w:sz w:val="24"/>
          <w:szCs w:val="24"/>
          <w:lang w:val="uk-UA"/>
        </w:rPr>
      </w:pPr>
      <w:r w:rsidRPr="005643C5">
        <w:rPr>
          <w:rFonts w:ascii="Times New Roman" w:hAnsi="Times New Roman" w:cs="Times New Roman"/>
          <w:sz w:val="24"/>
          <w:szCs w:val="24"/>
          <w:lang w:val="uk-UA"/>
        </w:rPr>
        <w:t xml:space="preserve">ВИРІШИЛИ: </w:t>
      </w:r>
      <w:r w:rsidR="001C5436" w:rsidRPr="00B22F77">
        <w:rPr>
          <w:rFonts w:ascii="Times New Roman" w:hAnsi="Times New Roman" w:cs="Times New Roman"/>
          <w:sz w:val="24"/>
          <w:szCs w:val="24"/>
          <w:lang w:val="uk-UA"/>
        </w:rPr>
        <w:t xml:space="preserve">Прийняти </w:t>
      </w:r>
      <w:r w:rsidR="001C5436" w:rsidRPr="00B22F77">
        <w:rPr>
          <w:rFonts w:ascii="Times New Roman" w:hAnsi="Times New Roman" w:cs="Times New Roman"/>
          <w:spacing w:val="-4"/>
          <w:sz w:val="24"/>
          <w:szCs w:val="24"/>
          <w:lang w:val="uk-UA"/>
        </w:rPr>
        <w:t xml:space="preserve">рішення про емісію акцій Товариства та затвердити «Рішення про емісію акцій (без здійснення публічної пропозиції)» з переліком осіб, які є учасниками розміщення акцій Товариства. «Рішення про емісію акцій (без здійснення публічної пропозиції)» викладено у </w:t>
      </w:r>
      <w:r w:rsidR="001C5436" w:rsidRPr="00B22F77">
        <w:rPr>
          <w:rFonts w:ascii="Times New Roman" w:hAnsi="Times New Roman" w:cs="Times New Roman"/>
          <w:sz w:val="24"/>
          <w:szCs w:val="24"/>
          <w:lang w:val="uk-UA"/>
        </w:rPr>
        <w:t xml:space="preserve">Додатку № 2, який є невід’ємною частиною цього протоколу Загальних зборів акціонерів. </w:t>
      </w:r>
    </w:p>
    <w:p w:rsidR="000F7F46" w:rsidRPr="002206F8" w:rsidRDefault="000F7F46" w:rsidP="002206F8">
      <w:pPr>
        <w:pStyle w:val="a3"/>
        <w:numPr>
          <w:ilvl w:val="0"/>
          <w:numId w:val="16"/>
        </w:numPr>
        <w:spacing w:after="0" w:line="240" w:lineRule="auto"/>
        <w:jc w:val="both"/>
        <w:rPr>
          <w:rFonts w:ascii="Times New Roman" w:hAnsi="Times New Roman" w:cs="Times New Roman"/>
          <w:b/>
          <w:sz w:val="24"/>
          <w:szCs w:val="24"/>
          <w:lang w:val="uk-UA"/>
        </w:rPr>
      </w:pPr>
      <w:r w:rsidRPr="002206F8">
        <w:rPr>
          <w:rFonts w:ascii="Times New Roman" w:hAnsi="Times New Roman" w:cs="Times New Roman"/>
          <w:b/>
          <w:sz w:val="24"/>
          <w:szCs w:val="24"/>
          <w:lang w:val="uk-UA"/>
        </w:rPr>
        <w:t xml:space="preserve">Визначення уповноваженого органу емітента, якому надаються повноваження, визначені нормативно-правовим актом </w:t>
      </w:r>
      <w:proofErr w:type="spellStart"/>
      <w:r w:rsidRPr="002206F8">
        <w:rPr>
          <w:rFonts w:ascii="Times New Roman" w:hAnsi="Times New Roman" w:cs="Times New Roman"/>
          <w:b/>
          <w:sz w:val="24"/>
          <w:szCs w:val="24"/>
          <w:lang w:val="uk-UA"/>
        </w:rPr>
        <w:t>реєструвального</w:t>
      </w:r>
      <w:proofErr w:type="spellEnd"/>
      <w:r w:rsidRPr="002206F8">
        <w:rPr>
          <w:rFonts w:ascii="Times New Roman" w:hAnsi="Times New Roman" w:cs="Times New Roman"/>
          <w:b/>
          <w:sz w:val="24"/>
          <w:szCs w:val="24"/>
          <w:lang w:val="uk-UA"/>
        </w:rPr>
        <w:t xml:space="preserve"> органу, що встановлює порядок збільшення статутного капіталу акціонерного товариства.</w:t>
      </w:r>
    </w:p>
    <w:p w:rsidR="002206F8" w:rsidRPr="002206F8" w:rsidRDefault="002206F8" w:rsidP="002206F8">
      <w:pPr>
        <w:pStyle w:val="a3"/>
        <w:spacing w:after="0" w:line="240" w:lineRule="auto"/>
        <w:jc w:val="both"/>
        <w:rPr>
          <w:rFonts w:ascii="Times New Roman" w:hAnsi="Times New Roman" w:cs="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0F7F46" w:rsidRPr="00681DA4" w:rsidRDefault="004E5F21" w:rsidP="000F7F46">
      <w:pPr>
        <w:ind w:firstLine="567"/>
        <w:jc w:val="both"/>
        <w:rPr>
          <w:rFonts w:ascii="Times New Roman" w:hAnsi="Times New Roman" w:cs="Times New Roman"/>
          <w:sz w:val="24"/>
          <w:szCs w:val="24"/>
          <w:lang w:val="uk-UA"/>
        </w:rPr>
      </w:pPr>
      <w:r w:rsidRPr="005643C5">
        <w:rPr>
          <w:rFonts w:ascii="Times New Roman" w:hAnsi="Times New Roman" w:cs="Times New Roman"/>
          <w:sz w:val="24"/>
          <w:szCs w:val="24"/>
          <w:lang w:val="uk-UA"/>
        </w:rPr>
        <w:lastRenderedPageBreak/>
        <w:t xml:space="preserve">ВИРІШИЛИ: </w:t>
      </w:r>
      <w:r w:rsidR="000F7F46" w:rsidRPr="00681DA4">
        <w:rPr>
          <w:rFonts w:ascii="Times New Roman" w:hAnsi="Times New Roman" w:cs="Times New Roman"/>
          <w:sz w:val="24"/>
          <w:szCs w:val="24"/>
          <w:lang w:val="uk-UA"/>
        </w:rPr>
        <w:t xml:space="preserve">Визначити Наглядову раду </w:t>
      </w:r>
      <w:r w:rsidR="000F7F46" w:rsidRPr="00681DA4">
        <w:rPr>
          <w:rFonts w:ascii="Times New Roman" w:hAnsi="Times New Roman" w:cs="Times New Roman"/>
          <w:bCs/>
          <w:sz w:val="24"/>
          <w:szCs w:val="24"/>
          <w:lang w:val="uk-UA"/>
        </w:rPr>
        <w:t>ПрАТ ФФ «ВІОЛА»</w:t>
      </w:r>
      <w:r w:rsidR="000F7F46" w:rsidRPr="00681DA4">
        <w:rPr>
          <w:rFonts w:ascii="Times New Roman" w:hAnsi="Times New Roman" w:cs="Times New Roman"/>
          <w:sz w:val="24"/>
          <w:szCs w:val="24"/>
          <w:lang w:val="uk-UA"/>
        </w:rPr>
        <w:t xml:space="preserve"> уповноваженим органом емітента, якому надаються повноваження щодо: </w:t>
      </w:r>
    </w:p>
    <w:p w:rsidR="000F7F46" w:rsidRPr="00681DA4" w:rsidRDefault="000F7F46" w:rsidP="000F7F46">
      <w:pPr>
        <w:pStyle w:val="a3"/>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визначення (затвердження) ціни розміщення акцій під час реалізації переважного права та розміщення акцій у процесі емісії;</w:t>
      </w:r>
    </w:p>
    <w:p w:rsidR="000F7F46" w:rsidRPr="00681DA4" w:rsidRDefault="000F7F46" w:rsidP="000F7F46">
      <w:pPr>
        <w:pStyle w:val="a3"/>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 xml:space="preserve">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681DA4">
        <w:rPr>
          <w:rFonts w:ascii="Times New Roman" w:hAnsi="Times New Roman" w:cs="Times New Roman"/>
          <w:sz w:val="24"/>
          <w:szCs w:val="24"/>
          <w:lang w:val="uk-UA"/>
        </w:rPr>
        <w:t>оплачено</w:t>
      </w:r>
      <w:proofErr w:type="spellEnd"/>
      <w:r w:rsidRPr="00681DA4">
        <w:rPr>
          <w:rFonts w:ascii="Times New Roman" w:hAnsi="Times New Roman" w:cs="Times New Roman"/>
          <w:sz w:val="24"/>
          <w:szCs w:val="24"/>
          <w:lang w:val="uk-UA"/>
        </w:rPr>
        <w:t>);</w:t>
      </w:r>
    </w:p>
    <w:p w:rsidR="000F7F46" w:rsidRPr="00681DA4" w:rsidRDefault="000F7F46" w:rsidP="000F7F46">
      <w:pPr>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затвердження результатів емісії акцій;</w:t>
      </w:r>
    </w:p>
    <w:p w:rsidR="000F7F46" w:rsidRPr="00681DA4" w:rsidRDefault="000F7F46" w:rsidP="000F7F46">
      <w:pPr>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затвердження звіту про результати емісії акцій;</w:t>
      </w:r>
    </w:p>
    <w:p w:rsidR="000F7F46" w:rsidRPr="00681DA4" w:rsidRDefault="000F7F46" w:rsidP="000F7F46">
      <w:pPr>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прийняття рішення про відмову від емісії акцій;</w:t>
      </w:r>
    </w:p>
    <w:p w:rsidR="000F7F46" w:rsidRPr="00681DA4" w:rsidRDefault="000F7F46" w:rsidP="000F7F46">
      <w:pPr>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w:t>
      </w:r>
    </w:p>
    <w:p w:rsidR="000F7F46" w:rsidRPr="00681DA4" w:rsidRDefault="000F7F46" w:rsidP="000F7F46">
      <w:pPr>
        <w:numPr>
          <w:ilvl w:val="0"/>
          <w:numId w:val="14"/>
        </w:numPr>
        <w:spacing w:after="0" w:line="240" w:lineRule="auto"/>
        <w:jc w:val="both"/>
        <w:rPr>
          <w:rFonts w:ascii="Times New Roman" w:hAnsi="Times New Roman" w:cs="Times New Roman"/>
          <w:sz w:val="24"/>
          <w:szCs w:val="24"/>
          <w:lang w:val="uk-UA"/>
        </w:rPr>
      </w:pPr>
      <w:r w:rsidRPr="00681DA4">
        <w:rPr>
          <w:rFonts w:ascii="Times New Roman" w:hAnsi="Times New Roman" w:cs="Times New Roman"/>
          <w:sz w:val="24"/>
          <w:szCs w:val="24"/>
          <w:lang w:val="uk-UA"/>
        </w:rPr>
        <w:t>повідомлення кожного акціонера,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 товариства».</w:t>
      </w:r>
    </w:p>
    <w:p w:rsidR="000F7F46" w:rsidRDefault="000F7F46" w:rsidP="000F7F46">
      <w:pPr>
        <w:spacing w:after="0" w:line="240" w:lineRule="auto"/>
        <w:jc w:val="both"/>
        <w:rPr>
          <w:rFonts w:ascii="Times New Roman" w:eastAsia="Times New Roman" w:hAnsi="Times New Roman" w:cs="Times New Roman"/>
          <w:b/>
          <w:sz w:val="24"/>
          <w:szCs w:val="24"/>
          <w:lang w:val="uk-UA" w:eastAsia="ru-RU"/>
        </w:rPr>
      </w:pPr>
    </w:p>
    <w:p w:rsidR="00FE1024" w:rsidRDefault="00FE1024" w:rsidP="002206F8">
      <w:pPr>
        <w:pStyle w:val="a6"/>
        <w:numPr>
          <w:ilvl w:val="0"/>
          <w:numId w:val="16"/>
        </w:numPr>
        <w:shd w:val="clear" w:color="auto" w:fill="FFFFFF"/>
        <w:spacing w:before="0" w:beforeAutospacing="0" w:after="0" w:afterAutospacing="0" w:line="272" w:lineRule="atLeast"/>
        <w:jc w:val="both"/>
        <w:rPr>
          <w:b/>
          <w:lang w:val="uk-UA"/>
        </w:rPr>
      </w:pPr>
      <w:r w:rsidRPr="00FE1024">
        <w:rPr>
          <w:b/>
          <w:lang w:val="uk-UA"/>
        </w:rPr>
        <w:t xml:space="preserve">Визначення уповноваженої особи емітента, якій надаються повноваження, визначені нормативно-правовим актом </w:t>
      </w:r>
      <w:proofErr w:type="spellStart"/>
      <w:r w:rsidRPr="00FE1024">
        <w:rPr>
          <w:b/>
          <w:lang w:val="uk-UA"/>
        </w:rPr>
        <w:t>реєструвального</w:t>
      </w:r>
      <w:proofErr w:type="spellEnd"/>
      <w:r w:rsidRPr="00FE1024">
        <w:rPr>
          <w:b/>
          <w:lang w:val="uk-UA"/>
        </w:rPr>
        <w:t xml:space="preserve"> органу, що встановлює порядок збільшення статутного капіталу акціонерного товариства.</w:t>
      </w:r>
    </w:p>
    <w:p w:rsidR="002206F8" w:rsidRPr="00FC1BE8" w:rsidRDefault="002206F8" w:rsidP="002206F8">
      <w:pPr>
        <w:pStyle w:val="a6"/>
        <w:shd w:val="clear" w:color="auto" w:fill="FFFFFF"/>
        <w:spacing w:before="0" w:beforeAutospacing="0" w:after="0" w:afterAutospacing="0" w:line="272" w:lineRule="atLeast"/>
        <w:ind w:left="720"/>
        <w:jc w:val="both"/>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45"/>
        <w:gridCol w:w="1260"/>
        <w:gridCol w:w="1364"/>
      </w:tblGrid>
      <w:tr w:rsidR="00DA1A96" w:rsidRPr="00960A60" w:rsidTr="00CC51EC">
        <w:trPr>
          <w:cantSplit/>
        </w:trPr>
        <w:tc>
          <w:tcPr>
            <w:tcW w:w="5387" w:type="dxa"/>
            <w:vAlign w:val="center"/>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Кількість голосів, що беруть участь у голосуванні</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uk-UA"/>
              </w:rPr>
            </w:pPr>
            <w:r w:rsidRPr="00960A60">
              <w:rPr>
                <w:rFonts w:ascii="Century" w:hAnsi="Century"/>
                <w:b/>
                <w:sz w:val="23"/>
                <w:szCs w:val="23"/>
                <w:lang w:val="uk-UA"/>
              </w:rPr>
              <w:t>22746</w:t>
            </w:r>
          </w:p>
        </w:tc>
        <w:tc>
          <w:tcPr>
            <w:tcW w:w="1260" w:type="dxa"/>
            <w:vAlign w:val="center"/>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spacing w:line="360" w:lineRule="auto"/>
              <w:ind w:left="-108" w:right="-87" w:hanging="108"/>
              <w:jc w:val="center"/>
              <w:rPr>
                <w:rFonts w:ascii="Century" w:hAnsi="Century"/>
                <w:b/>
                <w:sz w:val="24"/>
                <w:szCs w:val="24"/>
                <w:lang w:val="en-US"/>
              </w:rPr>
            </w:pPr>
            <w:r w:rsidRPr="00960A60">
              <w:rPr>
                <w:rFonts w:ascii="Century" w:hAnsi="Century"/>
                <w:b/>
                <w:sz w:val="24"/>
                <w:szCs w:val="24"/>
                <w:lang w:val="en-US"/>
              </w:rPr>
              <w:t>100 %</w:t>
            </w:r>
          </w:p>
        </w:tc>
      </w:tr>
      <w:tr w:rsidR="00DA1A96" w:rsidRPr="00960A60" w:rsidTr="00CC51EC">
        <w:trPr>
          <w:cantSplit/>
          <w:trHeight w:val="201"/>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 xml:space="preserve">Кількість голосів «За» </w:t>
            </w:r>
          </w:p>
        </w:tc>
        <w:tc>
          <w:tcPr>
            <w:tcW w:w="1345" w:type="dxa"/>
            <w:vAlign w:val="center"/>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3"/>
                <w:szCs w:val="23"/>
                <w:lang w:val="uk-UA"/>
              </w:rPr>
              <w:t>22746</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vAlign w:val="center"/>
          </w:tcPr>
          <w:p w:rsidR="00DA1A96" w:rsidRPr="00960A60" w:rsidRDefault="00DA1A96" w:rsidP="00CC51EC">
            <w:pPr>
              <w:pStyle w:val="a8"/>
              <w:ind w:left="-108" w:right="-87" w:hanging="108"/>
              <w:jc w:val="center"/>
              <w:rPr>
                <w:rFonts w:ascii="Century" w:hAnsi="Century"/>
                <w:b/>
                <w:sz w:val="24"/>
                <w:szCs w:val="24"/>
                <w:lang w:val="uk-UA"/>
              </w:rPr>
            </w:pPr>
            <w:r w:rsidRPr="00960A60">
              <w:rPr>
                <w:rFonts w:ascii="Century" w:hAnsi="Century"/>
                <w:b/>
                <w:sz w:val="24"/>
                <w:szCs w:val="24"/>
                <w:lang w:val="en-US"/>
              </w:rPr>
              <w:t>100 %</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«Проти»</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«Утримався»</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Pr>
        <w:tc>
          <w:tcPr>
            <w:tcW w:w="5387" w:type="dxa"/>
          </w:tcPr>
          <w:p w:rsidR="00DA1A96" w:rsidRPr="00960A60" w:rsidRDefault="00DA1A96" w:rsidP="00CC51EC">
            <w:pPr>
              <w:pStyle w:val="a8"/>
              <w:jc w:val="both"/>
              <w:rPr>
                <w:rFonts w:ascii="Century" w:hAnsi="Century"/>
                <w:sz w:val="24"/>
                <w:szCs w:val="24"/>
                <w:lang w:val="uk-UA"/>
              </w:rPr>
            </w:pPr>
            <w:r w:rsidRPr="00960A60">
              <w:rPr>
                <w:rFonts w:ascii="Century" w:hAnsi="Century"/>
                <w:sz w:val="24"/>
                <w:szCs w:val="24"/>
                <w:lang w:val="uk-UA"/>
              </w:rPr>
              <w:t>Кількість голосів акціонерів, які не брали участь у голосуванні</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r w:rsidR="00DA1A96" w:rsidRPr="00960A60" w:rsidTr="00CC51EC">
        <w:trPr>
          <w:cantSplit/>
          <w:trHeight w:val="135"/>
        </w:trPr>
        <w:tc>
          <w:tcPr>
            <w:tcW w:w="5387" w:type="dxa"/>
          </w:tcPr>
          <w:p w:rsidR="00DA1A96" w:rsidRPr="00960A60" w:rsidRDefault="00DA1A96" w:rsidP="00CC51EC">
            <w:pPr>
              <w:pStyle w:val="a8"/>
              <w:rPr>
                <w:rFonts w:ascii="Century" w:hAnsi="Century"/>
                <w:sz w:val="24"/>
                <w:szCs w:val="24"/>
                <w:lang w:val="uk-UA"/>
              </w:rPr>
            </w:pPr>
            <w:r w:rsidRPr="00960A60">
              <w:rPr>
                <w:rFonts w:ascii="Century" w:hAnsi="Century"/>
                <w:sz w:val="24"/>
                <w:szCs w:val="24"/>
                <w:lang w:val="uk-UA"/>
              </w:rPr>
              <w:t xml:space="preserve">Кількість голосів акціонерів за бюлетенями, визнаними недійсними </w:t>
            </w:r>
          </w:p>
        </w:tc>
        <w:tc>
          <w:tcPr>
            <w:tcW w:w="1345" w:type="dxa"/>
          </w:tcPr>
          <w:p w:rsidR="00DA1A96" w:rsidRPr="00960A60" w:rsidRDefault="00DA1A96" w:rsidP="00CC51EC">
            <w:pPr>
              <w:pStyle w:val="a8"/>
              <w:ind w:right="79" w:hanging="108"/>
              <w:jc w:val="center"/>
              <w:rPr>
                <w:rFonts w:ascii="Century" w:hAnsi="Century"/>
                <w:b/>
                <w:sz w:val="24"/>
                <w:szCs w:val="24"/>
                <w:lang w:val="en-US"/>
              </w:rPr>
            </w:pPr>
            <w:r w:rsidRPr="00960A60">
              <w:rPr>
                <w:rFonts w:ascii="Century" w:hAnsi="Century"/>
                <w:b/>
                <w:sz w:val="24"/>
                <w:szCs w:val="24"/>
                <w:lang w:val="en-US"/>
              </w:rPr>
              <w:t>0</w:t>
            </w:r>
          </w:p>
        </w:tc>
        <w:tc>
          <w:tcPr>
            <w:tcW w:w="1260" w:type="dxa"/>
          </w:tcPr>
          <w:p w:rsidR="00DA1A96" w:rsidRPr="00960A60" w:rsidRDefault="00DA1A96" w:rsidP="00CC51EC">
            <w:pPr>
              <w:pStyle w:val="a8"/>
              <w:ind w:right="-108" w:hanging="108"/>
              <w:jc w:val="center"/>
              <w:rPr>
                <w:rFonts w:ascii="Century" w:hAnsi="Century"/>
                <w:sz w:val="24"/>
                <w:szCs w:val="24"/>
                <w:lang w:val="uk-UA"/>
              </w:rPr>
            </w:pPr>
            <w:r w:rsidRPr="00960A60">
              <w:rPr>
                <w:rFonts w:ascii="Century" w:hAnsi="Century"/>
                <w:sz w:val="24"/>
                <w:szCs w:val="24"/>
                <w:lang w:val="uk-UA"/>
              </w:rPr>
              <w:t>Голосів</w:t>
            </w:r>
          </w:p>
        </w:tc>
        <w:tc>
          <w:tcPr>
            <w:tcW w:w="1364" w:type="dxa"/>
          </w:tcPr>
          <w:p w:rsidR="00DA1A96" w:rsidRPr="00960A60" w:rsidRDefault="00DA1A96" w:rsidP="00CC51EC">
            <w:pPr>
              <w:pStyle w:val="a8"/>
              <w:ind w:right="-87" w:hanging="108"/>
              <w:jc w:val="center"/>
              <w:rPr>
                <w:rFonts w:ascii="Century" w:hAnsi="Century"/>
                <w:b/>
                <w:sz w:val="24"/>
                <w:szCs w:val="24"/>
                <w:lang w:val="en-US"/>
              </w:rPr>
            </w:pPr>
            <w:r w:rsidRPr="00960A60">
              <w:rPr>
                <w:rFonts w:ascii="Century" w:hAnsi="Century"/>
                <w:b/>
                <w:sz w:val="24"/>
                <w:szCs w:val="24"/>
                <w:lang w:val="en-US"/>
              </w:rPr>
              <w:t>0</w:t>
            </w:r>
            <w:r w:rsidRPr="00960A60">
              <w:rPr>
                <w:rFonts w:ascii="Century" w:hAnsi="Century"/>
                <w:b/>
                <w:sz w:val="24"/>
                <w:szCs w:val="24"/>
                <w:lang w:val="uk-UA"/>
              </w:rPr>
              <w:t xml:space="preserve"> </w:t>
            </w:r>
            <w:r w:rsidRPr="00960A60">
              <w:rPr>
                <w:rFonts w:ascii="Century" w:hAnsi="Century"/>
                <w:b/>
                <w:sz w:val="24"/>
                <w:szCs w:val="24"/>
                <w:lang w:val="en-US"/>
              </w:rPr>
              <w:t>%</w:t>
            </w:r>
          </w:p>
        </w:tc>
      </w:tr>
    </w:tbl>
    <w:p w:rsidR="002206F8" w:rsidRDefault="002206F8" w:rsidP="00FE1024">
      <w:pPr>
        <w:ind w:left="709"/>
        <w:jc w:val="both"/>
        <w:rPr>
          <w:rFonts w:ascii="Times New Roman" w:hAnsi="Times New Roman" w:cs="Times New Roman"/>
          <w:sz w:val="24"/>
          <w:szCs w:val="24"/>
          <w:lang w:val="uk-UA"/>
        </w:rPr>
      </w:pPr>
    </w:p>
    <w:p w:rsidR="00FE1024" w:rsidRPr="00FC1BE8" w:rsidRDefault="000C3E11" w:rsidP="00FE1024">
      <w:pPr>
        <w:ind w:left="709"/>
        <w:jc w:val="both"/>
        <w:rPr>
          <w:rFonts w:ascii="Times New Roman" w:hAnsi="Times New Roman" w:cs="Times New Roman"/>
          <w:sz w:val="24"/>
          <w:szCs w:val="24"/>
          <w:lang w:val="uk-UA" w:eastAsia="ru-RU"/>
        </w:rPr>
      </w:pPr>
      <w:bookmarkStart w:id="0" w:name="_GoBack"/>
      <w:bookmarkEnd w:id="0"/>
      <w:r w:rsidRPr="005643C5">
        <w:rPr>
          <w:rFonts w:ascii="Times New Roman" w:hAnsi="Times New Roman" w:cs="Times New Roman"/>
          <w:sz w:val="24"/>
          <w:szCs w:val="24"/>
          <w:lang w:val="uk-UA"/>
        </w:rPr>
        <w:t xml:space="preserve">ВИРІШИЛИ: </w:t>
      </w:r>
      <w:r w:rsidR="00FE1024" w:rsidRPr="00FC1BE8">
        <w:rPr>
          <w:rFonts w:ascii="Times New Roman" w:hAnsi="Times New Roman" w:cs="Times New Roman"/>
          <w:sz w:val="24"/>
          <w:szCs w:val="24"/>
          <w:lang w:val="uk-UA" w:eastAsia="ru-RU"/>
        </w:rPr>
        <w:t xml:space="preserve">Визначити Голову правління </w:t>
      </w:r>
      <w:r w:rsidR="00FE1024" w:rsidRPr="00FC1BE8">
        <w:rPr>
          <w:rFonts w:ascii="Times New Roman" w:hAnsi="Times New Roman" w:cs="Times New Roman"/>
          <w:bCs/>
          <w:sz w:val="24"/>
          <w:szCs w:val="24"/>
          <w:lang w:val="uk-UA" w:eastAsia="ru-RU"/>
        </w:rPr>
        <w:t>ПрАТ ФФ «ВІОЛА»</w:t>
      </w:r>
      <w:r w:rsidR="00FE1024" w:rsidRPr="00FC1BE8">
        <w:rPr>
          <w:rFonts w:ascii="Times New Roman" w:hAnsi="Times New Roman" w:cs="Times New Roman"/>
          <w:sz w:val="24"/>
          <w:szCs w:val="24"/>
          <w:lang w:val="uk-UA" w:eastAsia="ru-RU"/>
        </w:rPr>
        <w:t xml:space="preserve"> або особу, що виконує його обов’язки, уповноваженою особою емітента, якій надаються повноваження:</w:t>
      </w:r>
    </w:p>
    <w:p w:rsidR="00FE1024" w:rsidRPr="00FC1BE8" w:rsidRDefault="00FE1024" w:rsidP="00FE1024">
      <w:pPr>
        <w:numPr>
          <w:ilvl w:val="0"/>
          <w:numId w:val="15"/>
        </w:numPr>
        <w:spacing w:after="100" w:afterAutospacing="1" w:line="240" w:lineRule="auto"/>
        <w:jc w:val="both"/>
        <w:rPr>
          <w:rFonts w:ascii="Times New Roman" w:hAnsi="Times New Roman" w:cs="Times New Roman"/>
          <w:sz w:val="24"/>
          <w:szCs w:val="24"/>
          <w:lang w:val="uk-UA" w:eastAsia="ru-RU"/>
        </w:rPr>
      </w:pPr>
      <w:r w:rsidRPr="00FC1BE8">
        <w:rPr>
          <w:rFonts w:ascii="Times New Roman" w:hAnsi="Times New Roman" w:cs="Times New Roman"/>
          <w:sz w:val="24"/>
          <w:szCs w:val="24"/>
          <w:lang w:val="uk-UA" w:eastAsia="ru-RU"/>
        </w:rPr>
        <w:t>проводити дії щодо забезпечення реалізації акціонерами свого переважного права на придбання акцій, щодо яких прийнято рішення про емісію;</w:t>
      </w:r>
    </w:p>
    <w:p w:rsidR="00FE1024" w:rsidRPr="00FC1BE8" w:rsidRDefault="00FE1024" w:rsidP="00FE1024">
      <w:pPr>
        <w:numPr>
          <w:ilvl w:val="0"/>
          <w:numId w:val="15"/>
        </w:numPr>
        <w:spacing w:before="100" w:beforeAutospacing="1" w:after="100" w:afterAutospacing="1" w:line="240" w:lineRule="auto"/>
        <w:jc w:val="both"/>
        <w:rPr>
          <w:rFonts w:ascii="Times New Roman" w:hAnsi="Times New Roman" w:cs="Times New Roman"/>
          <w:sz w:val="24"/>
          <w:szCs w:val="24"/>
          <w:lang w:val="uk-UA" w:eastAsia="ru-RU"/>
        </w:rPr>
      </w:pPr>
      <w:r w:rsidRPr="00FC1BE8">
        <w:rPr>
          <w:rFonts w:ascii="Times New Roman" w:hAnsi="Times New Roman" w:cs="Times New Roman"/>
          <w:sz w:val="24"/>
          <w:szCs w:val="24"/>
          <w:lang w:val="uk-UA" w:eastAsia="ru-RU"/>
        </w:rPr>
        <w:t>проводити дії щодо забезпечення розміщення акцій;</w:t>
      </w:r>
    </w:p>
    <w:p w:rsidR="00FE1024" w:rsidRPr="00357EB8" w:rsidRDefault="00FE1024" w:rsidP="00FE1024">
      <w:pPr>
        <w:numPr>
          <w:ilvl w:val="0"/>
          <w:numId w:val="15"/>
        </w:numPr>
        <w:spacing w:before="100" w:beforeAutospacing="1" w:after="0" w:afterAutospacing="1" w:line="240" w:lineRule="auto"/>
        <w:contextualSpacing/>
        <w:jc w:val="both"/>
        <w:rPr>
          <w:rFonts w:ascii="Times New Roman" w:hAnsi="Times New Roman" w:cs="Times New Roman"/>
          <w:lang w:val="uk-UA"/>
        </w:rPr>
      </w:pPr>
      <w:r w:rsidRPr="00FC1BE8">
        <w:rPr>
          <w:rFonts w:ascii="Times New Roman" w:hAnsi="Times New Roman" w:cs="Times New Roman"/>
          <w:sz w:val="24"/>
          <w:szCs w:val="24"/>
          <w:lang w:val="uk-UA" w:eastAsia="ru-RU"/>
        </w:rPr>
        <w:t>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sectPr w:rsidR="00FE1024" w:rsidRPr="00357EB8" w:rsidSect="00AB755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57"/>
    <w:multiLevelType w:val="hybridMultilevel"/>
    <w:tmpl w:val="18B8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B6722"/>
    <w:multiLevelType w:val="multilevel"/>
    <w:tmpl w:val="9FFE4ACE"/>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74B7813"/>
    <w:multiLevelType w:val="hybridMultilevel"/>
    <w:tmpl w:val="99EA0B9C"/>
    <w:lvl w:ilvl="0" w:tplc="6CFEE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DE150A"/>
    <w:multiLevelType w:val="hybridMultilevel"/>
    <w:tmpl w:val="58345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B6B7A"/>
    <w:multiLevelType w:val="hybridMultilevel"/>
    <w:tmpl w:val="F99C840C"/>
    <w:lvl w:ilvl="0" w:tplc="50925C78">
      <w:start w:val="2"/>
      <w:numFmt w:val="bullet"/>
      <w:lvlText w:val="-"/>
      <w:lvlJc w:val="left"/>
      <w:pPr>
        <w:tabs>
          <w:tab w:val="num" w:pos="720"/>
        </w:tabs>
        <w:ind w:left="720" w:hanging="360"/>
      </w:pPr>
      <w:rPr>
        <w:rFonts w:ascii="Bookman Old Style" w:eastAsia="Times New Roman" w:hAnsi="Bookman Old Style" w:cs="Times New Roman" w:hint="default"/>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CA7EE9"/>
    <w:multiLevelType w:val="hybridMultilevel"/>
    <w:tmpl w:val="EF3C9872"/>
    <w:lvl w:ilvl="0" w:tplc="6CFEE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A7054F"/>
    <w:multiLevelType w:val="hybridMultilevel"/>
    <w:tmpl w:val="86CCB898"/>
    <w:lvl w:ilvl="0" w:tplc="3D484F00">
      <w:start w:val="8"/>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61C1F"/>
    <w:multiLevelType w:val="hybridMultilevel"/>
    <w:tmpl w:val="E9228204"/>
    <w:lvl w:ilvl="0" w:tplc="535452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2127DF"/>
    <w:multiLevelType w:val="hybridMultilevel"/>
    <w:tmpl w:val="17CAFAFA"/>
    <w:lvl w:ilvl="0" w:tplc="B664A010">
      <w:numFmt w:val="bullet"/>
      <w:lvlText w:val="-"/>
      <w:lvlJc w:val="left"/>
      <w:pPr>
        <w:ind w:left="1069" w:hanging="360"/>
      </w:pPr>
      <w:rPr>
        <w:rFonts w:ascii="Bookman Old Style" w:eastAsia="Times New Roman" w:hAnsi="Bookman Old Style"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69BB65CD"/>
    <w:multiLevelType w:val="hybridMultilevel"/>
    <w:tmpl w:val="686EE268"/>
    <w:lvl w:ilvl="0" w:tplc="50925C78">
      <w:start w:val="2"/>
      <w:numFmt w:val="bullet"/>
      <w:lvlText w:val="-"/>
      <w:lvlJc w:val="left"/>
      <w:pPr>
        <w:ind w:left="1080" w:hanging="360"/>
      </w:pPr>
      <w:rPr>
        <w:rFonts w:ascii="Bookman Old Style" w:eastAsia="Times New Roman" w:hAnsi="Bookman Old Style" w:cs="Times New Roman" w:hint="default"/>
        <w:i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E866CD2"/>
    <w:multiLevelType w:val="hybridMultilevel"/>
    <w:tmpl w:val="FD1A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3F5C66"/>
    <w:multiLevelType w:val="hybridMultilevel"/>
    <w:tmpl w:val="B3B23682"/>
    <w:lvl w:ilvl="0" w:tplc="8820AD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0765CC"/>
    <w:multiLevelType w:val="hybridMultilevel"/>
    <w:tmpl w:val="CED410C2"/>
    <w:lvl w:ilvl="0" w:tplc="74D45CA6">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C7E3699"/>
    <w:multiLevelType w:val="hybridMultilevel"/>
    <w:tmpl w:val="5D5AD722"/>
    <w:lvl w:ilvl="0" w:tplc="4A60BF6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C8124C4"/>
    <w:multiLevelType w:val="hybridMultilevel"/>
    <w:tmpl w:val="F880EB2E"/>
    <w:lvl w:ilvl="0" w:tplc="91945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9"/>
  </w:num>
  <w:num w:numId="5">
    <w:abstractNumId w:val="0"/>
  </w:num>
  <w:num w:numId="6">
    <w:abstractNumId w:val="12"/>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6"/>
  </w:num>
  <w:num w:numId="12">
    <w:abstractNumId w:val="10"/>
  </w:num>
  <w:num w:numId="13">
    <w:abstractNumId w:val="2"/>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8"/>
    <w:rsid w:val="0001139F"/>
    <w:rsid w:val="0004358E"/>
    <w:rsid w:val="000B0405"/>
    <w:rsid w:val="000C3E11"/>
    <w:rsid w:val="000F7F46"/>
    <w:rsid w:val="00196552"/>
    <w:rsid w:val="001B13D4"/>
    <w:rsid w:val="001C5436"/>
    <w:rsid w:val="002206F8"/>
    <w:rsid w:val="00246B86"/>
    <w:rsid w:val="00252EC0"/>
    <w:rsid w:val="002965BC"/>
    <w:rsid w:val="003A77AD"/>
    <w:rsid w:val="004044D4"/>
    <w:rsid w:val="004E5F21"/>
    <w:rsid w:val="005643C5"/>
    <w:rsid w:val="005F01CC"/>
    <w:rsid w:val="006909FD"/>
    <w:rsid w:val="006F15D9"/>
    <w:rsid w:val="007460E1"/>
    <w:rsid w:val="007B3E4D"/>
    <w:rsid w:val="007E7EAF"/>
    <w:rsid w:val="008049F6"/>
    <w:rsid w:val="00834349"/>
    <w:rsid w:val="00870A5E"/>
    <w:rsid w:val="00910A3E"/>
    <w:rsid w:val="009B140F"/>
    <w:rsid w:val="009F2434"/>
    <w:rsid w:val="00A24412"/>
    <w:rsid w:val="00AB7556"/>
    <w:rsid w:val="00B47A7C"/>
    <w:rsid w:val="00B738D0"/>
    <w:rsid w:val="00BD62B6"/>
    <w:rsid w:val="00BE6E05"/>
    <w:rsid w:val="00C50390"/>
    <w:rsid w:val="00D72308"/>
    <w:rsid w:val="00DA1A96"/>
    <w:rsid w:val="00EE19CB"/>
    <w:rsid w:val="00EF4B5B"/>
    <w:rsid w:val="00F33FAC"/>
    <w:rsid w:val="00F65D08"/>
    <w:rsid w:val="00FE1024"/>
    <w:rsid w:val="00FE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F4A2C-C282-4C88-8034-B8FDE513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5D08"/>
    <w:pPr>
      <w:ind w:left="720"/>
      <w:contextualSpacing/>
    </w:pPr>
  </w:style>
  <w:style w:type="paragraph" w:styleId="a4">
    <w:name w:val="Balloon Text"/>
    <w:basedOn w:val="a"/>
    <w:link w:val="a5"/>
    <w:uiPriority w:val="99"/>
    <w:semiHidden/>
    <w:unhideWhenUsed/>
    <w:rsid w:val="007460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60E1"/>
    <w:rPr>
      <w:rFonts w:ascii="Segoe UI" w:hAnsi="Segoe UI" w:cs="Segoe UI"/>
      <w:sz w:val="18"/>
      <w:szCs w:val="18"/>
    </w:rPr>
  </w:style>
  <w:style w:type="paragraph" w:styleId="3">
    <w:name w:val="Body Text 3"/>
    <w:basedOn w:val="a"/>
    <w:link w:val="30"/>
    <w:rsid w:val="00B738D0"/>
    <w:pPr>
      <w:spacing w:after="0" w:line="240" w:lineRule="auto"/>
    </w:pPr>
    <w:rPr>
      <w:rFonts w:ascii="Times New Roman" w:eastAsia="Times New Roman" w:hAnsi="Times New Roman" w:cs="Times New Roman"/>
      <w:color w:val="000000"/>
      <w:szCs w:val="20"/>
      <w:lang w:val="uk-UA" w:eastAsia="ru-RU"/>
    </w:rPr>
  </w:style>
  <w:style w:type="character" w:customStyle="1" w:styleId="30">
    <w:name w:val="Основной текст 3 Знак"/>
    <w:basedOn w:val="a0"/>
    <w:link w:val="3"/>
    <w:rsid w:val="00B738D0"/>
    <w:rPr>
      <w:rFonts w:ascii="Times New Roman" w:eastAsia="Times New Roman" w:hAnsi="Times New Roman" w:cs="Times New Roman"/>
      <w:color w:val="000000"/>
      <w:szCs w:val="20"/>
      <w:lang w:val="uk-UA" w:eastAsia="ru-RU"/>
    </w:rPr>
  </w:style>
  <w:style w:type="paragraph" w:styleId="a6">
    <w:name w:val="Normal (Web)"/>
    <w:basedOn w:val="a"/>
    <w:unhideWhenUsed/>
    <w:qFormat/>
    <w:rsid w:val="004E5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4E5F21"/>
  </w:style>
  <w:style w:type="character" w:styleId="a7">
    <w:name w:val="annotation reference"/>
    <w:basedOn w:val="a0"/>
    <w:uiPriority w:val="99"/>
    <w:semiHidden/>
    <w:unhideWhenUsed/>
    <w:rsid w:val="007B3E4D"/>
    <w:rPr>
      <w:sz w:val="16"/>
      <w:szCs w:val="16"/>
    </w:rPr>
  </w:style>
  <w:style w:type="paragraph" w:customStyle="1" w:styleId="a8">
    <w:name w:val="Об"/>
    <w:rsid w:val="00DA1A9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 Марковский</dc:creator>
  <cp:keywords/>
  <dc:description/>
  <cp:lastModifiedBy>Ольга Н. Любченко</cp:lastModifiedBy>
  <cp:revision>7</cp:revision>
  <cp:lastPrinted>2018-09-21T12:04:00Z</cp:lastPrinted>
  <dcterms:created xsi:type="dcterms:W3CDTF">2018-09-21T12:02:00Z</dcterms:created>
  <dcterms:modified xsi:type="dcterms:W3CDTF">2018-09-21T12:21:00Z</dcterms:modified>
</cp:coreProperties>
</file>