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6F61F" w14:textId="77777777" w:rsidR="007804A3" w:rsidRPr="001B7D6C" w:rsidRDefault="007804A3" w:rsidP="0078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Підсумки голосування на Загальних зборах акціонерів </w:t>
      </w:r>
    </w:p>
    <w:p w14:paraId="557CD0D0" w14:textId="77777777" w:rsidR="007804A3" w:rsidRPr="001B7D6C" w:rsidRDefault="007804A3" w:rsidP="0078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ПрАТ ФФ «ВІОЛА»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(код ЄДРПОУ: 01973472), </w:t>
      </w:r>
    </w:p>
    <w:p w14:paraId="30639554" w14:textId="21C3DB04" w:rsidR="007804A3" w:rsidRPr="001B7D6C" w:rsidRDefault="00465286" w:rsidP="0078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 відбулися </w:t>
      </w:r>
      <w:r w:rsidR="0035161A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</w:t>
      </w:r>
      <w:r w:rsidR="007804A3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35161A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04</w:t>
      </w:r>
      <w:r w:rsidR="007804A3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</w:t>
      </w:r>
      <w:r w:rsidR="0035161A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="007804A3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</w:p>
    <w:p w14:paraId="77648237" w14:textId="77777777" w:rsidR="007804A3" w:rsidRPr="001B7D6C" w:rsidRDefault="007804A3" w:rsidP="00780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5E47BDA" w14:textId="2063AE8B" w:rsidR="007804A3" w:rsidRPr="001B7D6C" w:rsidRDefault="007804A3" w:rsidP="00780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питань та прийнят</w:t>
      </w:r>
      <w:r w:rsidR="00D751E1"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рішення:</w:t>
      </w:r>
    </w:p>
    <w:p w14:paraId="036D4F84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39032ED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 порядку денного винесене на голосування:</w:t>
      </w:r>
    </w:p>
    <w:p w14:paraId="46E308AE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лічильної комісії.</w:t>
      </w:r>
    </w:p>
    <w:p w14:paraId="0ED0DFEB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E2AF2A4" w14:textId="77777777" w:rsidR="007D2A96" w:rsidRDefault="007D2A96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7D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Обрати лічильну комісію у складі Твердохліб А. А. – голова комісії, Шарова Н.М.  – член лічильної комісії для здійснення підрахунку голосів акціонерів під час голосування на Загальних зборах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1449A3" w14:textId="77777777" w:rsidR="00F95D46" w:rsidRPr="001B7D6C" w:rsidRDefault="00F95D46" w:rsidP="007D2A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50AB673A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використанням бюлетенів для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5AA3FA67" w14:textId="77777777" w:rsidR="007D2A96" w:rsidRPr="001B7D6C" w:rsidRDefault="007D2A96" w:rsidP="007D2A96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1B7D6C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7D2A96" w:rsidRPr="001B7D6C" w14:paraId="75136818" w14:textId="77777777" w:rsidTr="006701E9">
        <w:trPr>
          <w:cantSplit/>
        </w:trPr>
        <w:tc>
          <w:tcPr>
            <w:tcW w:w="3119" w:type="dxa"/>
            <w:vAlign w:val="center"/>
          </w:tcPr>
          <w:p w14:paraId="5FCA358E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741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146CDD52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2F734B10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0FC7EF9" w14:textId="77777777" w:rsidTr="006701E9">
        <w:trPr>
          <w:cantSplit/>
          <w:trHeight w:val="201"/>
        </w:trPr>
        <w:tc>
          <w:tcPr>
            <w:tcW w:w="3119" w:type="dxa"/>
          </w:tcPr>
          <w:p w14:paraId="048D6545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7FB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316EBFB3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00BD15DD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73490B5" w14:textId="77777777" w:rsidTr="006701E9">
        <w:trPr>
          <w:cantSplit/>
        </w:trPr>
        <w:tc>
          <w:tcPr>
            <w:tcW w:w="3119" w:type="dxa"/>
          </w:tcPr>
          <w:p w14:paraId="219FFF6F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417" w:type="dxa"/>
          </w:tcPr>
          <w:p w14:paraId="121716C6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AD16E6B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6F85B318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172294B0" w14:textId="77777777" w:rsidTr="006701E9">
        <w:trPr>
          <w:cantSplit/>
        </w:trPr>
        <w:tc>
          <w:tcPr>
            <w:tcW w:w="3119" w:type="dxa"/>
          </w:tcPr>
          <w:p w14:paraId="36A06CA9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417" w:type="dxa"/>
          </w:tcPr>
          <w:p w14:paraId="43756171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092801EC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5EDE745A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5FCB382F" w14:textId="77777777" w:rsidTr="006701E9">
        <w:trPr>
          <w:cantSplit/>
        </w:trPr>
        <w:tc>
          <w:tcPr>
            <w:tcW w:w="3119" w:type="dxa"/>
          </w:tcPr>
          <w:p w14:paraId="24AEDE4F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63934348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2388FF0B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59AD1353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356FEF3F" w14:textId="77777777" w:rsidTr="006701E9">
        <w:trPr>
          <w:cantSplit/>
          <w:trHeight w:val="135"/>
        </w:trPr>
        <w:tc>
          <w:tcPr>
            <w:tcW w:w="3119" w:type="dxa"/>
          </w:tcPr>
          <w:p w14:paraId="12374588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6D733FCE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963B406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00FE437E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223A1FC1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AE0E237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  <w:r w:rsidRPr="001B7D6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10532D2D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61F8DEFA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1B7D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Обрати лічильну комісію у складі Твердохліб А. А. – голова комісії, Шарова Н.М.  – член лічильної комісії для здійснення підрахунку голосів акціонерів під час голосування на Загальних зборах</w:t>
      </w: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38F0F8A" w14:textId="77777777" w:rsidR="007D2A96" w:rsidRPr="001B7D6C" w:rsidRDefault="007D2A96" w:rsidP="007D2A96">
      <w:pPr>
        <w:tabs>
          <w:tab w:val="left" w:pos="11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262C65E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2 порядку денного винесене на голосування:</w:t>
      </w:r>
    </w:p>
    <w:p w14:paraId="2E65B0A5" w14:textId="77777777" w:rsidR="0035161A" w:rsidRPr="001B7D6C" w:rsidRDefault="0035161A" w:rsidP="003516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sz w:val="24"/>
          <w:szCs w:val="24"/>
          <w:lang w:val="uk-UA"/>
        </w:rPr>
        <w:t>Звіт  Правління Товариства про результати фінансово-господарської діяльності  Товариства за 2019 рік, прийняття рішення за наслідками його розгляду.</w:t>
      </w:r>
    </w:p>
    <w:p w14:paraId="49EBDC2D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5B3CAF" w14:textId="77777777" w:rsidR="0035161A" w:rsidRPr="001B7D6C" w:rsidRDefault="007D2A96" w:rsidP="0035161A">
      <w:pPr>
        <w:tabs>
          <w:tab w:val="left" w:pos="360"/>
          <w:tab w:val="left" w:pos="5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61A" w:rsidRPr="001B7D6C">
        <w:rPr>
          <w:rFonts w:ascii="Times New Roman" w:hAnsi="Times New Roman" w:cs="Times New Roman"/>
          <w:sz w:val="24"/>
          <w:szCs w:val="24"/>
          <w:lang w:val="uk-UA"/>
        </w:rPr>
        <w:t>Затвердити звіт Правління про результати фінансово-господарської діяльності  Товариства за 2019рік.</w:t>
      </w:r>
    </w:p>
    <w:p w14:paraId="0B33CAA9" w14:textId="77777777" w:rsidR="0035161A" w:rsidRPr="001B7D6C" w:rsidRDefault="0035161A" w:rsidP="0035161A">
      <w:pPr>
        <w:tabs>
          <w:tab w:val="left" w:pos="360"/>
          <w:tab w:val="left" w:pos="54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A279E1" w14:textId="17AAF3E4" w:rsidR="007D2A96" w:rsidRPr="001B7D6C" w:rsidRDefault="007D2A96" w:rsidP="0035161A">
      <w:pPr>
        <w:tabs>
          <w:tab w:val="left" w:pos="360"/>
          <w:tab w:val="left" w:pos="54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використанням бюлетенів для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762AAE5C" w14:textId="77777777" w:rsidR="007D2A96" w:rsidRPr="001B7D6C" w:rsidRDefault="007D2A96" w:rsidP="007D2A96">
      <w:pPr>
        <w:pStyle w:val="af1"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7008C4" w14:textId="77777777" w:rsidR="007D2A96" w:rsidRPr="001B7D6C" w:rsidRDefault="007D2A96" w:rsidP="007D2A96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1B7D6C">
        <w:rPr>
          <w:b/>
          <w:sz w:val="24"/>
          <w:szCs w:val="24"/>
          <w:lang w:val="uk-UA"/>
        </w:rPr>
        <w:lastRenderedPageBreak/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7D2A96" w:rsidRPr="001B7D6C" w14:paraId="70E1D615" w14:textId="77777777" w:rsidTr="006701E9">
        <w:trPr>
          <w:cantSplit/>
        </w:trPr>
        <w:tc>
          <w:tcPr>
            <w:tcW w:w="3119" w:type="dxa"/>
            <w:vAlign w:val="center"/>
          </w:tcPr>
          <w:p w14:paraId="0B0D1F19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809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5F96DC5A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3990538B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618C3AC2" w14:textId="77777777" w:rsidTr="006701E9">
        <w:trPr>
          <w:cantSplit/>
          <w:trHeight w:val="201"/>
        </w:trPr>
        <w:tc>
          <w:tcPr>
            <w:tcW w:w="3119" w:type="dxa"/>
          </w:tcPr>
          <w:p w14:paraId="22DED49F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E4D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781EB84E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4D917D99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C3C2A13" w14:textId="77777777" w:rsidTr="006701E9">
        <w:trPr>
          <w:cantSplit/>
        </w:trPr>
        <w:tc>
          <w:tcPr>
            <w:tcW w:w="3119" w:type="dxa"/>
          </w:tcPr>
          <w:p w14:paraId="5BB71F0F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417" w:type="dxa"/>
          </w:tcPr>
          <w:p w14:paraId="1B2F6296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03E5C9B2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217763CB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0A33F630" w14:textId="77777777" w:rsidTr="006701E9">
        <w:trPr>
          <w:cantSplit/>
        </w:trPr>
        <w:tc>
          <w:tcPr>
            <w:tcW w:w="3119" w:type="dxa"/>
          </w:tcPr>
          <w:p w14:paraId="2B27181C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417" w:type="dxa"/>
          </w:tcPr>
          <w:p w14:paraId="15D4B1BB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BB31852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40B8BCE8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7BC8BA3" w14:textId="77777777" w:rsidTr="006701E9">
        <w:trPr>
          <w:cantSplit/>
        </w:trPr>
        <w:tc>
          <w:tcPr>
            <w:tcW w:w="3119" w:type="dxa"/>
          </w:tcPr>
          <w:p w14:paraId="0678441E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4ED9DA9C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6A476DB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3E705D6A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2C7B18B0" w14:textId="77777777" w:rsidTr="006701E9">
        <w:trPr>
          <w:cantSplit/>
          <w:trHeight w:val="135"/>
        </w:trPr>
        <w:tc>
          <w:tcPr>
            <w:tcW w:w="3119" w:type="dxa"/>
          </w:tcPr>
          <w:p w14:paraId="1745EE25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70CDB3B7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E746F1D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73D77A48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096EED96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7F9D3834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  <w:r w:rsidRPr="001B7D6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4D82233E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5D65A563" w14:textId="77777777" w:rsidR="0035161A" w:rsidRPr="001B7D6C" w:rsidRDefault="007D2A96" w:rsidP="0035161A">
      <w:pPr>
        <w:tabs>
          <w:tab w:val="left" w:pos="360"/>
          <w:tab w:val="left" w:pos="5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35161A" w:rsidRPr="001B7D6C">
        <w:rPr>
          <w:rFonts w:ascii="Times New Roman" w:hAnsi="Times New Roman" w:cs="Times New Roman"/>
          <w:sz w:val="24"/>
          <w:szCs w:val="24"/>
          <w:lang w:val="uk-UA"/>
        </w:rPr>
        <w:t>Затвердити звіт Правління про результати фінансово-господарської діяльності  Товариства за 2019рік.</w:t>
      </w:r>
    </w:p>
    <w:p w14:paraId="3A596F68" w14:textId="5CF27B00" w:rsidR="007D2A96" w:rsidRPr="001B7D6C" w:rsidRDefault="007D2A96" w:rsidP="0035161A">
      <w:pPr>
        <w:tabs>
          <w:tab w:val="left" w:pos="360"/>
          <w:tab w:val="left" w:pos="54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A6B49" w14:textId="2841DA7A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3 порядку денного винесене на голосування:</w:t>
      </w:r>
    </w:p>
    <w:p w14:paraId="03FC1B2F" w14:textId="77777777" w:rsidR="004E1AEF" w:rsidRPr="001B7D6C" w:rsidRDefault="004E1AEF" w:rsidP="004E1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sz w:val="24"/>
          <w:szCs w:val="24"/>
          <w:lang w:val="uk-UA"/>
        </w:rPr>
        <w:t>Звіт Наглядової ради Товариства,  прийняття рішення за наслідками його розгляду.</w:t>
      </w:r>
    </w:p>
    <w:p w14:paraId="6DB7F210" w14:textId="77777777" w:rsidR="00DF1E5A" w:rsidRPr="001B7D6C" w:rsidRDefault="00DF1E5A" w:rsidP="004E1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AB8C9" w14:textId="1930519F" w:rsidR="007D2A96" w:rsidRPr="001B7D6C" w:rsidRDefault="00DF1E5A" w:rsidP="007D2A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AEF" w:rsidRPr="001B7D6C">
        <w:rPr>
          <w:rFonts w:ascii="Times New Roman" w:hAnsi="Times New Roman" w:cs="Times New Roman"/>
          <w:sz w:val="24"/>
          <w:szCs w:val="24"/>
          <w:lang w:val="uk-UA"/>
        </w:rPr>
        <w:t>Затвердити звіт Наглядової ради Товариства про результати діяльності Товариства за 2019 рік.</w:t>
      </w:r>
    </w:p>
    <w:p w14:paraId="44CE3D95" w14:textId="77777777" w:rsidR="00DF1E5A" w:rsidRPr="001B7D6C" w:rsidRDefault="00DF1E5A" w:rsidP="007D2A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9FA5A0" w14:textId="77777777" w:rsidR="007D2A96" w:rsidRPr="001B7D6C" w:rsidRDefault="007D2A96" w:rsidP="007D2A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 бюлетенів для кумулятивного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3F3427C8" w14:textId="77777777" w:rsidR="00DF1E5A" w:rsidRPr="001B7D6C" w:rsidRDefault="00DF1E5A" w:rsidP="00DF1E5A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1B7D6C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DF1E5A" w:rsidRPr="001B7D6C" w14:paraId="012FEE69" w14:textId="77777777" w:rsidTr="007F181D">
        <w:trPr>
          <w:cantSplit/>
        </w:trPr>
        <w:tc>
          <w:tcPr>
            <w:tcW w:w="3119" w:type="dxa"/>
            <w:vAlign w:val="center"/>
          </w:tcPr>
          <w:p w14:paraId="29BC1EC1" w14:textId="77777777" w:rsidR="00DF1E5A" w:rsidRPr="001B7D6C" w:rsidRDefault="00DF1E5A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CD1" w14:textId="77777777" w:rsidR="00DF1E5A" w:rsidRPr="001B7D6C" w:rsidRDefault="00DF1E5A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3330DB70" w14:textId="77777777" w:rsidR="00DF1E5A" w:rsidRPr="001B7D6C" w:rsidRDefault="00DF1E5A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745F2589" w14:textId="77777777" w:rsidR="00DF1E5A" w:rsidRPr="001B7D6C" w:rsidRDefault="00DF1E5A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DF1E5A" w:rsidRPr="001B7D6C" w14:paraId="7001A2A1" w14:textId="77777777" w:rsidTr="007F181D">
        <w:trPr>
          <w:cantSplit/>
          <w:trHeight w:val="201"/>
        </w:trPr>
        <w:tc>
          <w:tcPr>
            <w:tcW w:w="3119" w:type="dxa"/>
          </w:tcPr>
          <w:p w14:paraId="26D9EC84" w14:textId="77777777" w:rsidR="00DF1E5A" w:rsidRPr="001B7D6C" w:rsidRDefault="00DF1E5A" w:rsidP="007F181D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A8A" w14:textId="77777777" w:rsidR="00DF1E5A" w:rsidRPr="001B7D6C" w:rsidRDefault="00DF1E5A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435F5328" w14:textId="77777777" w:rsidR="00DF1E5A" w:rsidRPr="001B7D6C" w:rsidRDefault="00DF1E5A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3B05FE82" w14:textId="77777777" w:rsidR="00DF1E5A" w:rsidRPr="001B7D6C" w:rsidRDefault="00DF1E5A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DF1E5A" w:rsidRPr="001B7D6C" w14:paraId="06F1753E" w14:textId="77777777" w:rsidTr="007F181D">
        <w:trPr>
          <w:cantSplit/>
        </w:trPr>
        <w:tc>
          <w:tcPr>
            <w:tcW w:w="3119" w:type="dxa"/>
          </w:tcPr>
          <w:p w14:paraId="09C8FFCA" w14:textId="77777777" w:rsidR="00DF1E5A" w:rsidRPr="001B7D6C" w:rsidRDefault="00DF1E5A" w:rsidP="007F181D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417" w:type="dxa"/>
          </w:tcPr>
          <w:p w14:paraId="7F09A140" w14:textId="77777777" w:rsidR="00DF1E5A" w:rsidRPr="001B7D6C" w:rsidRDefault="00DF1E5A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2F7C0F49" w14:textId="77777777" w:rsidR="00DF1E5A" w:rsidRPr="001B7D6C" w:rsidRDefault="00DF1E5A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456320E3" w14:textId="77777777" w:rsidR="00DF1E5A" w:rsidRPr="001B7D6C" w:rsidRDefault="00DF1E5A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DF1E5A" w:rsidRPr="001B7D6C" w14:paraId="125D8B8A" w14:textId="77777777" w:rsidTr="007F181D">
        <w:trPr>
          <w:cantSplit/>
        </w:trPr>
        <w:tc>
          <w:tcPr>
            <w:tcW w:w="3119" w:type="dxa"/>
          </w:tcPr>
          <w:p w14:paraId="782B77A7" w14:textId="77777777" w:rsidR="00DF1E5A" w:rsidRPr="001B7D6C" w:rsidRDefault="00DF1E5A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417" w:type="dxa"/>
          </w:tcPr>
          <w:p w14:paraId="369A4159" w14:textId="77777777" w:rsidR="00DF1E5A" w:rsidRPr="001B7D6C" w:rsidRDefault="00DF1E5A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56C9BA96" w14:textId="77777777" w:rsidR="00DF1E5A" w:rsidRPr="001B7D6C" w:rsidRDefault="00DF1E5A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140802BB" w14:textId="77777777" w:rsidR="00DF1E5A" w:rsidRPr="001B7D6C" w:rsidRDefault="00DF1E5A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DF1E5A" w:rsidRPr="001B7D6C" w14:paraId="299F1116" w14:textId="77777777" w:rsidTr="007F181D">
        <w:trPr>
          <w:cantSplit/>
        </w:trPr>
        <w:tc>
          <w:tcPr>
            <w:tcW w:w="3119" w:type="dxa"/>
          </w:tcPr>
          <w:p w14:paraId="29BEEB2D" w14:textId="77777777" w:rsidR="00DF1E5A" w:rsidRPr="001B7D6C" w:rsidRDefault="00DF1E5A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1C50E01C" w14:textId="77777777" w:rsidR="00DF1E5A" w:rsidRPr="001B7D6C" w:rsidRDefault="00DF1E5A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65B265F1" w14:textId="77777777" w:rsidR="00DF1E5A" w:rsidRPr="001B7D6C" w:rsidRDefault="00DF1E5A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07FDAB3E" w14:textId="77777777" w:rsidR="00DF1E5A" w:rsidRPr="001B7D6C" w:rsidRDefault="00DF1E5A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DF1E5A" w:rsidRPr="001B7D6C" w14:paraId="7D723FE1" w14:textId="77777777" w:rsidTr="007F181D">
        <w:trPr>
          <w:cantSplit/>
          <w:trHeight w:val="135"/>
        </w:trPr>
        <w:tc>
          <w:tcPr>
            <w:tcW w:w="3119" w:type="dxa"/>
          </w:tcPr>
          <w:p w14:paraId="565F4F3C" w14:textId="77777777" w:rsidR="00DF1E5A" w:rsidRPr="001B7D6C" w:rsidRDefault="00DF1E5A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216F8D43" w14:textId="77777777" w:rsidR="00DF1E5A" w:rsidRPr="001B7D6C" w:rsidRDefault="00DF1E5A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4F8AFC5C" w14:textId="77777777" w:rsidR="00DF1E5A" w:rsidRPr="001B7D6C" w:rsidRDefault="00DF1E5A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22003808" w14:textId="77777777" w:rsidR="00DF1E5A" w:rsidRPr="001B7D6C" w:rsidRDefault="00DF1E5A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66BD13A8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D38F1A8" w14:textId="120B8F2B" w:rsidR="007D2A96" w:rsidRPr="001B7D6C" w:rsidRDefault="007D2A96" w:rsidP="00ED7A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ПРИЙНЯТЕ РІШЕННЯ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D7AB1" w:rsidRPr="001B7D6C">
        <w:rPr>
          <w:rFonts w:ascii="Times New Roman" w:hAnsi="Times New Roman" w:cs="Times New Roman"/>
          <w:sz w:val="24"/>
          <w:szCs w:val="24"/>
          <w:lang w:val="uk-UA"/>
        </w:rPr>
        <w:t>Затвердити звіт Наглядової ради Товариства про результати діяльності Товариства за 2019 рік.</w:t>
      </w:r>
    </w:p>
    <w:p w14:paraId="7C9B966A" w14:textId="77777777" w:rsidR="007D2A96" w:rsidRPr="001B7D6C" w:rsidRDefault="007D2A96" w:rsidP="007D2A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3A8D64" w14:textId="7314A613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4 порядку денного винесене на голосування:</w:t>
      </w:r>
    </w:p>
    <w:p w14:paraId="714F262B" w14:textId="12A32B42" w:rsidR="007D2A96" w:rsidRPr="001B7D6C" w:rsidRDefault="00ED7AB1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sz w:val="24"/>
          <w:szCs w:val="24"/>
          <w:lang w:val="uk-UA"/>
        </w:rPr>
        <w:t>Звіт Ревізійної комісії  Товариства та прийняття рішення за наслідками його розгляду.</w:t>
      </w:r>
    </w:p>
    <w:p w14:paraId="04784599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406115" w14:textId="77777777" w:rsidR="00B67B25" w:rsidRPr="001B7D6C" w:rsidRDefault="007D2A96" w:rsidP="00B67B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B25" w:rsidRPr="001B7D6C">
        <w:rPr>
          <w:rFonts w:ascii="Times New Roman" w:hAnsi="Times New Roman" w:cs="Times New Roman"/>
          <w:sz w:val="24"/>
          <w:szCs w:val="24"/>
          <w:lang w:val="uk-UA"/>
        </w:rPr>
        <w:t>Затвердити звіт Ревізійної комісії Товариства про результати перевірки фінансово-господарської діяльності Товариства за 2019 рік.</w:t>
      </w:r>
    </w:p>
    <w:p w14:paraId="31D923E5" w14:textId="77777777" w:rsidR="00B67B25" w:rsidRPr="001B7D6C" w:rsidRDefault="00B67B25" w:rsidP="00B67B2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421D86" w14:textId="77777777" w:rsidR="004320FF" w:rsidRDefault="007D2A96" w:rsidP="004320F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використанням бюлетенів для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23284750" w14:textId="03734219" w:rsidR="007D2A96" w:rsidRPr="004320FF" w:rsidRDefault="007D2A96" w:rsidP="004320F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7D2A96" w:rsidRPr="001B7D6C" w14:paraId="4010B928" w14:textId="77777777" w:rsidTr="006701E9">
        <w:trPr>
          <w:cantSplit/>
        </w:trPr>
        <w:tc>
          <w:tcPr>
            <w:tcW w:w="3119" w:type="dxa"/>
            <w:vAlign w:val="center"/>
          </w:tcPr>
          <w:p w14:paraId="5B4486DA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B46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774CE3B6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5BC8C3E9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076275C1" w14:textId="77777777" w:rsidTr="006701E9">
        <w:trPr>
          <w:cantSplit/>
          <w:trHeight w:val="201"/>
        </w:trPr>
        <w:tc>
          <w:tcPr>
            <w:tcW w:w="3119" w:type="dxa"/>
          </w:tcPr>
          <w:p w14:paraId="5C9C0281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9EF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21393552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2ABF490E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001A5314" w14:textId="77777777" w:rsidTr="006701E9">
        <w:trPr>
          <w:cantSplit/>
        </w:trPr>
        <w:tc>
          <w:tcPr>
            <w:tcW w:w="3119" w:type="dxa"/>
          </w:tcPr>
          <w:p w14:paraId="674C3485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417" w:type="dxa"/>
          </w:tcPr>
          <w:p w14:paraId="7187B020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D7CA558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31E02C90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54559A4" w14:textId="77777777" w:rsidTr="006701E9">
        <w:trPr>
          <w:cantSplit/>
        </w:trPr>
        <w:tc>
          <w:tcPr>
            <w:tcW w:w="3119" w:type="dxa"/>
          </w:tcPr>
          <w:p w14:paraId="0CF1D3AD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417" w:type="dxa"/>
          </w:tcPr>
          <w:p w14:paraId="34524A2C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53F45649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5F9F1715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3B30128B" w14:textId="77777777" w:rsidTr="006701E9">
        <w:trPr>
          <w:cantSplit/>
        </w:trPr>
        <w:tc>
          <w:tcPr>
            <w:tcW w:w="3119" w:type="dxa"/>
          </w:tcPr>
          <w:p w14:paraId="008CE0B1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3794A05F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5BD92D95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35B6A6F7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42C4386B" w14:textId="77777777" w:rsidTr="006701E9">
        <w:trPr>
          <w:cantSplit/>
          <w:trHeight w:val="135"/>
        </w:trPr>
        <w:tc>
          <w:tcPr>
            <w:tcW w:w="3119" w:type="dxa"/>
          </w:tcPr>
          <w:p w14:paraId="3E443CE8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5AE16506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3ED81BB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1996A1A7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7CB535E9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4EE23211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  <w:r w:rsidRPr="001B7D6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56A78AEB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0659F2F5" w14:textId="77777777" w:rsidR="00B67B25" w:rsidRPr="001B7D6C" w:rsidRDefault="007D2A96" w:rsidP="00B67B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B67B25" w:rsidRPr="001B7D6C">
        <w:rPr>
          <w:rFonts w:ascii="Times New Roman" w:hAnsi="Times New Roman" w:cs="Times New Roman"/>
          <w:sz w:val="24"/>
          <w:szCs w:val="24"/>
          <w:lang w:val="uk-UA"/>
        </w:rPr>
        <w:t>Затвердити звіт Ревізійної комісії Товариства про результати перевірки фінансово-господарської діяльності Товариства за 2019 рік.</w:t>
      </w:r>
    </w:p>
    <w:p w14:paraId="1B109E57" w14:textId="77777777" w:rsidR="007D2A96" w:rsidRPr="001B7D6C" w:rsidRDefault="007D2A96" w:rsidP="007D2A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5C9D8" w14:textId="3B3511E5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5 порядку денного винесене на голосування:</w:t>
      </w:r>
    </w:p>
    <w:p w14:paraId="7CE5C0F7" w14:textId="77777777" w:rsidR="00AC545D" w:rsidRPr="001B7D6C" w:rsidRDefault="00AC545D" w:rsidP="00AC54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річного звіту Товариства про фінансові результати та балансу Товариства за 2019 рік. </w:t>
      </w:r>
    </w:p>
    <w:p w14:paraId="77E2D24A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F2DB9" w14:textId="348107C8" w:rsidR="00AC545D" w:rsidRPr="001B7D6C" w:rsidRDefault="007D2A96" w:rsidP="00AC54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D4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C545D" w:rsidRPr="001B7D6C">
        <w:rPr>
          <w:rFonts w:ascii="Times New Roman" w:hAnsi="Times New Roman" w:cs="Times New Roman"/>
          <w:sz w:val="24"/>
          <w:szCs w:val="24"/>
          <w:lang w:val="uk-UA"/>
        </w:rPr>
        <w:t>атвердити річний звіт ПрАТ ФФ «ВІОЛА» про фінансові результати та баланс Товариства за 2019 рік.</w:t>
      </w:r>
    </w:p>
    <w:p w14:paraId="399AB1D4" w14:textId="1ED9EA53" w:rsidR="007D2A96" w:rsidRPr="001B7D6C" w:rsidRDefault="007D2A96" w:rsidP="00AC545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A4F1FF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використанням бюлетенів для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196555DC" w14:textId="77777777" w:rsidR="007D2A96" w:rsidRPr="001B7D6C" w:rsidRDefault="007D2A96" w:rsidP="007D2A96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1B7D6C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7D2A96" w:rsidRPr="001B7D6C" w14:paraId="2DC57F11" w14:textId="77777777" w:rsidTr="006701E9">
        <w:trPr>
          <w:cantSplit/>
        </w:trPr>
        <w:tc>
          <w:tcPr>
            <w:tcW w:w="3119" w:type="dxa"/>
            <w:vAlign w:val="center"/>
          </w:tcPr>
          <w:p w14:paraId="5F9B9F81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5BF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53DA9114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02FC8D4D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6FC54DF6" w14:textId="77777777" w:rsidTr="006701E9">
        <w:trPr>
          <w:cantSplit/>
          <w:trHeight w:val="201"/>
        </w:trPr>
        <w:tc>
          <w:tcPr>
            <w:tcW w:w="3119" w:type="dxa"/>
          </w:tcPr>
          <w:p w14:paraId="0CA87C95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lastRenderedPageBreak/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C99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0315E377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79C40373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59E67063" w14:textId="77777777" w:rsidTr="006701E9">
        <w:trPr>
          <w:cantSplit/>
        </w:trPr>
        <w:tc>
          <w:tcPr>
            <w:tcW w:w="3119" w:type="dxa"/>
          </w:tcPr>
          <w:p w14:paraId="7F4CB898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417" w:type="dxa"/>
          </w:tcPr>
          <w:p w14:paraId="3D52A484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267E3B30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53B1751B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68134869" w14:textId="77777777" w:rsidTr="006701E9">
        <w:trPr>
          <w:cantSplit/>
        </w:trPr>
        <w:tc>
          <w:tcPr>
            <w:tcW w:w="3119" w:type="dxa"/>
          </w:tcPr>
          <w:p w14:paraId="78726F29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417" w:type="dxa"/>
          </w:tcPr>
          <w:p w14:paraId="591F78FF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2771A747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4E2B2410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3F45D6A5" w14:textId="77777777" w:rsidTr="006701E9">
        <w:trPr>
          <w:cantSplit/>
        </w:trPr>
        <w:tc>
          <w:tcPr>
            <w:tcW w:w="3119" w:type="dxa"/>
          </w:tcPr>
          <w:p w14:paraId="46CDD2BD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611A7A65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4FD65772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6CE599B0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5599AC10" w14:textId="77777777" w:rsidTr="006701E9">
        <w:trPr>
          <w:cantSplit/>
          <w:trHeight w:val="135"/>
        </w:trPr>
        <w:tc>
          <w:tcPr>
            <w:tcW w:w="3119" w:type="dxa"/>
          </w:tcPr>
          <w:p w14:paraId="75484C62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71A740A3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3867A2EE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7AE245B8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036AC459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31FB3857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  <w:r w:rsidRPr="001B7D6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0DAD2951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9D2A3C2" w14:textId="6243A8DB" w:rsidR="007D2A96" w:rsidRPr="001B7D6C" w:rsidRDefault="007D2A96" w:rsidP="00AC54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C545D" w:rsidRPr="001B7D6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C545D" w:rsidRPr="001B7D6C">
        <w:rPr>
          <w:rFonts w:ascii="Times New Roman" w:hAnsi="Times New Roman" w:cs="Times New Roman"/>
          <w:sz w:val="24"/>
          <w:szCs w:val="24"/>
          <w:lang w:val="uk-UA"/>
        </w:rPr>
        <w:t>атвердити річний звіт ПрАТ ФФ «ВІОЛА» про фінансові результати та баланс Товариства за 2019 рік.</w:t>
      </w:r>
    </w:p>
    <w:p w14:paraId="10E11D79" w14:textId="77777777" w:rsidR="007D2A96" w:rsidRPr="001B7D6C" w:rsidRDefault="007D2A96" w:rsidP="007D2A9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0AF2D" w14:textId="53824B52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6 порядку денного винесене на голосування:</w:t>
      </w:r>
    </w:p>
    <w:p w14:paraId="7F8702D2" w14:textId="77777777" w:rsidR="00AC545D" w:rsidRPr="001B7D6C" w:rsidRDefault="00AC545D" w:rsidP="00AC54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порядку розподілу прибутку Товариства. </w:t>
      </w:r>
    </w:p>
    <w:p w14:paraId="6AA5B1A0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3D4AC3" w14:textId="76733DEA" w:rsidR="00611BC9" w:rsidRPr="001B7D6C" w:rsidRDefault="00F95D46" w:rsidP="00611BC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BC9" w:rsidRPr="001B7D6C">
        <w:rPr>
          <w:rFonts w:ascii="Times New Roman" w:hAnsi="Times New Roman" w:cs="Times New Roman"/>
          <w:iCs/>
          <w:sz w:val="24"/>
          <w:szCs w:val="24"/>
          <w:lang w:val="uk-UA"/>
        </w:rPr>
        <w:t>Затвердити наступний порядок розподілу прибутку ПрАТ ФФ «ВІОЛА» 44 611 787,01 гривень, у тому числі нерозподілений прибуток за 2018 рік у розмірі 10 804 202,37 гривень та за 2019 рік у розмірі 33 807 584,64 гривень:</w:t>
      </w:r>
    </w:p>
    <w:p w14:paraId="0D69F009" w14:textId="77777777" w:rsidR="00611BC9" w:rsidRPr="001B7D6C" w:rsidRDefault="00611BC9" w:rsidP="00611B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            1. Здійснити виплату дивідендів  у сумі  26 600 000,00 гривень, з розрахунку 625,00 гривень на одну акцію. Виплату дивідендів здійснити в строк до «24»  жовтня 2020 р., пропорційно часткам у статутному капіталі Товариства, що належать кожному акціонеру.</w:t>
      </w:r>
    </w:p>
    <w:p w14:paraId="342A50E7" w14:textId="77777777" w:rsidR="00611BC9" w:rsidRPr="001B7D6C" w:rsidRDefault="00611BC9" w:rsidP="00611BC9">
      <w:pPr>
        <w:spacing w:after="0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Встановити наступний спосіб виплати дивідендів – безпосередньо акціонерам, шляхом перерахування на   їх поточні рахунки або виплата через касу ПрАТ ФФ «ВІОЛА». Конкретний спосіб отримання дивідендів  акціонери зазначають у заявах, наданих Товариству. Сплату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</w:p>
    <w:p w14:paraId="566E7A45" w14:textId="77777777" w:rsidR="00611BC9" w:rsidRDefault="00611BC9" w:rsidP="00611B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2. Суму прибутку у розмірі  18 011 787,01  гривень залишити  в розпорядженні Товариства з метою поповнення обігових коштів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BF660A" w14:textId="77777777" w:rsidR="006D415B" w:rsidRDefault="006D415B" w:rsidP="00611B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647A94" w14:textId="77777777" w:rsidR="006D415B" w:rsidRPr="001B7D6C" w:rsidRDefault="006D415B" w:rsidP="006D4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 бюлетенів для кумулятивного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168877C1" w14:textId="77777777" w:rsidR="001B7D6C" w:rsidRPr="001B7D6C" w:rsidRDefault="001B7D6C" w:rsidP="001B7D6C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1B7D6C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611BC9" w:rsidRPr="001B7D6C" w14:paraId="7FF03740" w14:textId="77777777" w:rsidTr="007F181D">
        <w:trPr>
          <w:cantSplit/>
        </w:trPr>
        <w:tc>
          <w:tcPr>
            <w:tcW w:w="3119" w:type="dxa"/>
            <w:vAlign w:val="center"/>
          </w:tcPr>
          <w:p w14:paraId="47AA5D2E" w14:textId="77777777" w:rsidR="00611BC9" w:rsidRPr="001B7D6C" w:rsidRDefault="00611BC9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0F4" w14:textId="77777777" w:rsidR="00611BC9" w:rsidRPr="001B7D6C" w:rsidRDefault="00611BC9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4CF10946" w14:textId="77777777" w:rsidR="00611BC9" w:rsidRPr="001B7D6C" w:rsidRDefault="00611BC9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55FDAD5A" w14:textId="77777777" w:rsidR="00611BC9" w:rsidRPr="001B7D6C" w:rsidRDefault="00611BC9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611BC9" w:rsidRPr="001B7D6C" w14:paraId="6E2FCE66" w14:textId="77777777" w:rsidTr="007F181D">
        <w:trPr>
          <w:cantSplit/>
          <w:trHeight w:val="201"/>
        </w:trPr>
        <w:tc>
          <w:tcPr>
            <w:tcW w:w="3119" w:type="dxa"/>
          </w:tcPr>
          <w:p w14:paraId="3D847F1F" w14:textId="77777777" w:rsidR="00611BC9" w:rsidRPr="001B7D6C" w:rsidRDefault="00611BC9" w:rsidP="007F181D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F41" w14:textId="77777777" w:rsidR="00611BC9" w:rsidRPr="001B7D6C" w:rsidRDefault="00611BC9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68A35608" w14:textId="77777777" w:rsidR="00611BC9" w:rsidRPr="001B7D6C" w:rsidRDefault="00611BC9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5D284D71" w14:textId="77777777" w:rsidR="00611BC9" w:rsidRPr="001B7D6C" w:rsidRDefault="00611BC9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611BC9" w:rsidRPr="001B7D6C" w14:paraId="5CEFDABC" w14:textId="77777777" w:rsidTr="007F181D">
        <w:trPr>
          <w:cantSplit/>
        </w:trPr>
        <w:tc>
          <w:tcPr>
            <w:tcW w:w="3119" w:type="dxa"/>
          </w:tcPr>
          <w:p w14:paraId="3B0E23E7" w14:textId="77777777" w:rsidR="00611BC9" w:rsidRPr="001B7D6C" w:rsidRDefault="00611BC9" w:rsidP="007F181D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417" w:type="dxa"/>
          </w:tcPr>
          <w:p w14:paraId="288430B5" w14:textId="77777777" w:rsidR="00611BC9" w:rsidRPr="001B7D6C" w:rsidRDefault="00611BC9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24D56C8" w14:textId="77777777" w:rsidR="00611BC9" w:rsidRPr="001B7D6C" w:rsidRDefault="00611BC9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1C073E5B" w14:textId="77777777" w:rsidR="00611BC9" w:rsidRPr="001B7D6C" w:rsidRDefault="00611BC9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611BC9" w:rsidRPr="001B7D6C" w14:paraId="602DDFF9" w14:textId="77777777" w:rsidTr="007F181D">
        <w:trPr>
          <w:cantSplit/>
        </w:trPr>
        <w:tc>
          <w:tcPr>
            <w:tcW w:w="3119" w:type="dxa"/>
          </w:tcPr>
          <w:p w14:paraId="78A7488B" w14:textId="77777777" w:rsidR="00611BC9" w:rsidRPr="001B7D6C" w:rsidRDefault="00611BC9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lastRenderedPageBreak/>
              <w:t>Кількість голосів «Утримався»</w:t>
            </w:r>
          </w:p>
        </w:tc>
        <w:tc>
          <w:tcPr>
            <w:tcW w:w="1417" w:type="dxa"/>
          </w:tcPr>
          <w:p w14:paraId="4496EC10" w14:textId="77777777" w:rsidR="00611BC9" w:rsidRPr="001B7D6C" w:rsidRDefault="00611BC9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6CEB0D7B" w14:textId="77777777" w:rsidR="00611BC9" w:rsidRPr="001B7D6C" w:rsidRDefault="00611BC9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10712890" w14:textId="77777777" w:rsidR="00611BC9" w:rsidRPr="001B7D6C" w:rsidRDefault="00611BC9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611BC9" w:rsidRPr="001B7D6C" w14:paraId="27F21ECE" w14:textId="77777777" w:rsidTr="007F181D">
        <w:trPr>
          <w:cantSplit/>
        </w:trPr>
        <w:tc>
          <w:tcPr>
            <w:tcW w:w="3119" w:type="dxa"/>
          </w:tcPr>
          <w:p w14:paraId="5AF62E1E" w14:textId="77777777" w:rsidR="00611BC9" w:rsidRPr="001B7D6C" w:rsidRDefault="00611BC9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31542CDC" w14:textId="77777777" w:rsidR="00611BC9" w:rsidRPr="001B7D6C" w:rsidRDefault="00611BC9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0549C659" w14:textId="77777777" w:rsidR="00611BC9" w:rsidRPr="001B7D6C" w:rsidRDefault="00611BC9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7A4AF050" w14:textId="77777777" w:rsidR="00611BC9" w:rsidRPr="001B7D6C" w:rsidRDefault="00611BC9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611BC9" w:rsidRPr="001B7D6C" w14:paraId="3231EAA0" w14:textId="77777777" w:rsidTr="007F181D">
        <w:trPr>
          <w:cantSplit/>
          <w:trHeight w:val="135"/>
        </w:trPr>
        <w:tc>
          <w:tcPr>
            <w:tcW w:w="3119" w:type="dxa"/>
          </w:tcPr>
          <w:p w14:paraId="0E94947D" w14:textId="77777777" w:rsidR="00611BC9" w:rsidRPr="001B7D6C" w:rsidRDefault="00611BC9" w:rsidP="007F181D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7511361B" w14:textId="77777777" w:rsidR="00611BC9" w:rsidRPr="001B7D6C" w:rsidRDefault="00611BC9" w:rsidP="007F181D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30559A94" w14:textId="77777777" w:rsidR="00611BC9" w:rsidRPr="001B7D6C" w:rsidRDefault="00611BC9" w:rsidP="007F181D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5F17E17A" w14:textId="77777777" w:rsidR="00611BC9" w:rsidRPr="001B7D6C" w:rsidRDefault="00611BC9" w:rsidP="007F181D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1B292D67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</w:rPr>
      </w:pPr>
    </w:p>
    <w:p w14:paraId="5712E9E0" w14:textId="77777777" w:rsidR="00611BC9" w:rsidRPr="001B7D6C" w:rsidRDefault="007D2A96" w:rsidP="00611BC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11BC9" w:rsidRPr="001B7D6C">
        <w:rPr>
          <w:rFonts w:ascii="Times New Roman" w:hAnsi="Times New Roman" w:cs="Times New Roman"/>
          <w:iCs/>
          <w:sz w:val="24"/>
          <w:szCs w:val="24"/>
          <w:lang w:val="uk-UA"/>
        </w:rPr>
        <w:t>Затвердити наступний порядок розподілу прибутку ПрАТ ФФ «ВІОЛА» 44 611 787,01 гривень, у тому числі нерозподілений прибуток за 2018 рік у розмірі 10 804 202,37 гривень та за 2019 рік у розмірі 33 807 584,64 гривень:</w:t>
      </w:r>
    </w:p>
    <w:p w14:paraId="0BA30DE5" w14:textId="77777777" w:rsidR="00611BC9" w:rsidRPr="001B7D6C" w:rsidRDefault="00611BC9" w:rsidP="00611B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            1. Здійснити виплату дивідендів  у сумі  26 600 000,00 гривень, з розрахунку 625,00 гривень на одну акцію. Виплату дивідендів здійснити в строк до «24»  жовтня 2020 р., пропорційно часткам у статутному капіталі Товариства, що належать кожному акціонеру.</w:t>
      </w:r>
    </w:p>
    <w:p w14:paraId="0958C3AA" w14:textId="77777777" w:rsidR="00611BC9" w:rsidRPr="001B7D6C" w:rsidRDefault="00611BC9" w:rsidP="00611BC9">
      <w:pPr>
        <w:spacing w:after="0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Встановити наступний спосіб виплати дивідендів – безпосередньо акціонерам, шляхом перерахування на   їх поточні рахунки або виплата через касу ПрАТ ФФ «ВІОЛА». Конкретний спосіб отримання дивідендів  акціонери зазначають у заявах, наданих Товариству. Сплату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</w:p>
    <w:p w14:paraId="2D571073" w14:textId="77777777" w:rsidR="00611BC9" w:rsidRPr="001B7D6C" w:rsidRDefault="00611BC9" w:rsidP="00611B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2. Суму прибутку у розмірі  18 011 787,01  гривень залишити  в розпорядженні Товариства з метою поповнення обігових коштів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AE3FD8" w14:textId="6755866D" w:rsidR="007D2A96" w:rsidRPr="001B7D6C" w:rsidRDefault="007D2A96" w:rsidP="00611B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8D3EE6D" w14:textId="677D7CA4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7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7 порядку денного винесене на голосування:</w:t>
      </w:r>
    </w:p>
    <w:p w14:paraId="556EA4D6" w14:textId="6C02FF25" w:rsidR="007D2A96" w:rsidRPr="001B7D6C" w:rsidRDefault="001B7D6C" w:rsidP="007D2A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1B7D6C">
        <w:rPr>
          <w:rFonts w:ascii="Times New Roman" w:hAnsi="Times New Roman" w:cs="Times New Roman"/>
          <w:sz w:val="24"/>
          <w:szCs w:val="24"/>
          <w:lang w:val="uk-UA"/>
        </w:rPr>
        <w:t>Прийняття рішення про попереднє надання згоди на вчинення значних правочинів, які можуть вчинятись Товариством</w:t>
      </w:r>
      <w:r w:rsidR="007D2A96" w:rsidRPr="001B7D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10B68C66" w14:textId="77777777" w:rsidR="007D2A96" w:rsidRPr="001B7D6C" w:rsidRDefault="007D2A96" w:rsidP="007D2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BC5F1" w14:textId="77777777" w:rsidR="001B7D6C" w:rsidRPr="001B7D6C" w:rsidRDefault="007D2A96" w:rsidP="001B7D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7D6C" w:rsidRPr="001B7D6C">
        <w:rPr>
          <w:rFonts w:ascii="Times New Roman" w:hAnsi="Times New Roman" w:cs="Times New Roman"/>
          <w:sz w:val="24"/>
          <w:szCs w:val="24"/>
          <w:lang w:val="uk-UA"/>
        </w:rPr>
        <w:t>Прийняти рішення про попереднє надання згоди на вчинення значних правочинів, які можуть вчинятися Товариством до 24.04.2021 року</w:t>
      </w:r>
      <w:r w:rsidR="001B7D6C" w:rsidRPr="001B7D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, с</w:t>
      </w:r>
      <w:r w:rsidR="001B7D6C" w:rsidRPr="001B7D6C">
        <w:rPr>
          <w:rFonts w:ascii="Times New Roman" w:hAnsi="Times New Roman" w:cs="Times New Roman"/>
          <w:sz w:val="24"/>
          <w:szCs w:val="24"/>
          <w:lang w:val="uk-UA"/>
        </w:rPr>
        <w:t>укупна гранична вартість кожного з правочинів,  не повинна перевищувати:</w:t>
      </w:r>
    </w:p>
    <w:p w14:paraId="1D359115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правочину купівлі-продажу (поставки) товарів, робіт та послуг, які є предметом діяльності Товариства - 100  млн. гривень,</w:t>
      </w:r>
    </w:p>
    <w:p w14:paraId="2B0BA700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правочину  на закупівлю Товариством сировини (основної та допоміжної), допоміжних матеріалів (тари, пакування)  - 100 млн. гривень,</w:t>
      </w:r>
    </w:p>
    <w:p w14:paraId="791272B4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  правочину на придбання Товариством спирту етилового - 100 млн. гривень,</w:t>
      </w:r>
    </w:p>
    <w:p w14:paraId="53C75D13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 для правочину купівлі-продажу нерухомого майна – 15 млн. гривень, </w:t>
      </w:r>
    </w:p>
    <w:p w14:paraId="224A7B25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 для кредитного договору - 15 млн. гривень, </w:t>
      </w:r>
    </w:p>
    <w:p w14:paraId="1E62FABB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договору застави - 25 млн. гривень,</w:t>
      </w:r>
    </w:p>
    <w:p w14:paraId="5639ABED" w14:textId="77777777" w:rsidR="001B7D6C" w:rsidRDefault="001B7D6C" w:rsidP="001B7D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правочинів постачання (купівлі-продажу) продукції, що укладаються з ТОВ ФК «ВІОЛА» - 250 млн. гривень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87006C" w14:textId="77777777" w:rsidR="006D415B" w:rsidRPr="001B7D6C" w:rsidRDefault="006D415B" w:rsidP="001B7D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BA8B83" w14:textId="77777777" w:rsidR="006D415B" w:rsidRPr="001B7D6C" w:rsidRDefault="006D415B" w:rsidP="006D4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 бюлетенів для кумулятивного голосування,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55374684" w14:textId="77777777" w:rsidR="007D2A96" w:rsidRPr="001B7D6C" w:rsidRDefault="007D2A96" w:rsidP="007D2A96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 w:rsidRPr="001B7D6C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260"/>
        <w:gridCol w:w="4127"/>
      </w:tblGrid>
      <w:tr w:rsidR="007D2A96" w:rsidRPr="001B7D6C" w14:paraId="4759F0A2" w14:textId="77777777" w:rsidTr="006701E9">
        <w:trPr>
          <w:cantSplit/>
        </w:trPr>
        <w:tc>
          <w:tcPr>
            <w:tcW w:w="3119" w:type="dxa"/>
            <w:vAlign w:val="center"/>
          </w:tcPr>
          <w:p w14:paraId="44990ED1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219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  <w:vAlign w:val="center"/>
          </w:tcPr>
          <w:p w14:paraId="588C71AE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1EF20FEE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 xml:space="preserve">100 % </w:t>
            </w:r>
            <w:r w:rsidRPr="001B7D6C">
              <w:rPr>
                <w:sz w:val="24"/>
                <w:szCs w:val="24"/>
                <w:lang w:val="uk-UA"/>
              </w:rPr>
              <w:t>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50E107C" w14:textId="77777777" w:rsidTr="006701E9">
        <w:trPr>
          <w:cantSplit/>
          <w:trHeight w:val="201"/>
        </w:trPr>
        <w:tc>
          <w:tcPr>
            <w:tcW w:w="3119" w:type="dxa"/>
          </w:tcPr>
          <w:p w14:paraId="60714227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10F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42560</w:t>
            </w:r>
          </w:p>
        </w:tc>
        <w:tc>
          <w:tcPr>
            <w:tcW w:w="1260" w:type="dxa"/>
          </w:tcPr>
          <w:p w14:paraId="4F12560F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  <w:vAlign w:val="center"/>
          </w:tcPr>
          <w:p w14:paraId="0D7C4FCC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100 %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4486EF3B" w14:textId="77777777" w:rsidTr="006701E9">
        <w:trPr>
          <w:cantSplit/>
        </w:trPr>
        <w:tc>
          <w:tcPr>
            <w:tcW w:w="3119" w:type="dxa"/>
          </w:tcPr>
          <w:p w14:paraId="379B5AE9" w14:textId="77777777" w:rsidR="007D2A96" w:rsidRPr="001B7D6C" w:rsidRDefault="007D2A96" w:rsidP="006701E9">
            <w:pPr>
              <w:pStyle w:val="af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lastRenderedPageBreak/>
              <w:t>Кількість голосів «Проти»</w:t>
            </w:r>
          </w:p>
        </w:tc>
        <w:tc>
          <w:tcPr>
            <w:tcW w:w="1417" w:type="dxa"/>
          </w:tcPr>
          <w:p w14:paraId="5DFB6BD8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1651716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6E3363C2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73FF1FDA" w14:textId="77777777" w:rsidTr="006701E9">
        <w:trPr>
          <w:cantSplit/>
        </w:trPr>
        <w:tc>
          <w:tcPr>
            <w:tcW w:w="3119" w:type="dxa"/>
          </w:tcPr>
          <w:p w14:paraId="079477B0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417" w:type="dxa"/>
          </w:tcPr>
          <w:p w14:paraId="65C058D4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F1C9835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2707DEE8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0808EB65" w14:textId="77777777" w:rsidTr="006701E9">
        <w:trPr>
          <w:cantSplit/>
        </w:trPr>
        <w:tc>
          <w:tcPr>
            <w:tcW w:w="3119" w:type="dxa"/>
          </w:tcPr>
          <w:p w14:paraId="1D75E988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417" w:type="dxa"/>
          </w:tcPr>
          <w:p w14:paraId="4F8CB948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64ACE5CE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57F90A31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D2A96" w:rsidRPr="001B7D6C" w14:paraId="6D0D2D2C" w14:textId="77777777" w:rsidTr="006701E9">
        <w:trPr>
          <w:cantSplit/>
          <w:trHeight w:val="135"/>
        </w:trPr>
        <w:tc>
          <w:tcPr>
            <w:tcW w:w="3119" w:type="dxa"/>
          </w:tcPr>
          <w:p w14:paraId="593B4341" w14:textId="77777777" w:rsidR="007D2A96" w:rsidRPr="001B7D6C" w:rsidRDefault="007D2A96" w:rsidP="006701E9">
            <w:pPr>
              <w:pStyle w:val="af0"/>
              <w:contextualSpacing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417" w:type="dxa"/>
          </w:tcPr>
          <w:p w14:paraId="518FEBFB" w14:textId="77777777" w:rsidR="007D2A96" w:rsidRPr="001B7D6C" w:rsidRDefault="007D2A96" w:rsidP="006701E9">
            <w:pPr>
              <w:pStyle w:val="af0"/>
              <w:ind w:right="79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95CCE15" w14:textId="77777777" w:rsidR="007D2A96" w:rsidRPr="001B7D6C" w:rsidRDefault="007D2A96" w:rsidP="006701E9">
            <w:pPr>
              <w:pStyle w:val="af0"/>
              <w:ind w:right="-108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1B7D6C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7" w:type="dxa"/>
          </w:tcPr>
          <w:p w14:paraId="185AC390" w14:textId="77777777" w:rsidR="007D2A96" w:rsidRPr="001B7D6C" w:rsidRDefault="007D2A96" w:rsidP="006701E9">
            <w:pPr>
              <w:pStyle w:val="af0"/>
              <w:ind w:right="-8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1B7D6C">
              <w:rPr>
                <w:b/>
                <w:sz w:val="24"/>
                <w:szCs w:val="24"/>
                <w:lang w:val="uk-UA"/>
              </w:rPr>
              <w:t>0 %</w:t>
            </w:r>
            <w:r w:rsidRPr="001B7D6C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2D8AE43A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446246A2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  <w:r w:rsidRPr="001B7D6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093C8C39" w14:textId="77777777" w:rsidR="007D2A96" w:rsidRPr="001B7D6C" w:rsidRDefault="007D2A96" w:rsidP="007D2A96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62B65C6F" w14:textId="77777777" w:rsidR="001B7D6C" w:rsidRPr="001B7D6C" w:rsidRDefault="007D2A96" w:rsidP="001B7D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1B7D6C" w:rsidRPr="001B7D6C">
        <w:rPr>
          <w:rFonts w:ascii="Times New Roman" w:hAnsi="Times New Roman" w:cs="Times New Roman"/>
          <w:sz w:val="24"/>
          <w:szCs w:val="24"/>
          <w:lang w:val="uk-UA"/>
        </w:rPr>
        <w:t>Прийняти рішення про попереднє надання згоди на вчинення значних правочинів, які можуть вчинятися Товариством до 24.04.2021 року</w:t>
      </w:r>
      <w:r w:rsidR="001B7D6C" w:rsidRPr="001B7D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, с</w:t>
      </w:r>
      <w:r w:rsidR="001B7D6C" w:rsidRPr="001B7D6C">
        <w:rPr>
          <w:rFonts w:ascii="Times New Roman" w:hAnsi="Times New Roman" w:cs="Times New Roman"/>
          <w:sz w:val="24"/>
          <w:szCs w:val="24"/>
          <w:lang w:val="uk-UA"/>
        </w:rPr>
        <w:t>укупна гранична вартість кожного з правочинів,  не повинна перевищувати:</w:t>
      </w:r>
    </w:p>
    <w:p w14:paraId="0904F880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правочину купівлі-продажу (поставки) товарів, робіт та послуг, які є предметом діяльності Товариства - 100  млн. гривень,</w:t>
      </w:r>
    </w:p>
    <w:p w14:paraId="1EBE08BD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правочину  на закупівлю Товариством сировини (основної та допоміжної), допоміжних матеріалів (тари, пакування)  - 100 млн. гривень,</w:t>
      </w:r>
    </w:p>
    <w:p w14:paraId="7B620403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  правочину на придбання Товариством спирту етилового - 100 млн. гривень,</w:t>
      </w:r>
    </w:p>
    <w:p w14:paraId="7A40E09F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 для правочину купівлі-продажу нерухомого майна – 15 млн. гривень, </w:t>
      </w:r>
    </w:p>
    <w:p w14:paraId="25F62594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 для кредитного договору - 15 млн. гривень, </w:t>
      </w:r>
    </w:p>
    <w:p w14:paraId="6F0C754E" w14:textId="77777777" w:rsidR="001B7D6C" w:rsidRPr="001B7D6C" w:rsidRDefault="001B7D6C" w:rsidP="001B7D6C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договору застави - 25 млн. гривень,</w:t>
      </w:r>
    </w:p>
    <w:p w14:paraId="4BFD29AC" w14:textId="77777777" w:rsidR="001B7D6C" w:rsidRPr="001B7D6C" w:rsidRDefault="001B7D6C" w:rsidP="001B7D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D6C">
        <w:rPr>
          <w:rFonts w:ascii="Times New Roman" w:hAnsi="Times New Roman" w:cs="Times New Roman"/>
          <w:iCs/>
          <w:sz w:val="24"/>
          <w:szCs w:val="24"/>
          <w:lang w:val="uk-UA"/>
        </w:rPr>
        <w:t>- для правочинів постачання (купівлі-продажу) продукції, що укладаються з ТОВ ФК «ВІОЛА» - 250 млн. гривень</w:t>
      </w:r>
      <w:r w:rsidRPr="001B7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347A89" w14:textId="77777777" w:rsidR="001B7D6C" w:rsidRPr="001B7D6C" w:rsidRDefault="001B7D6C" w:rsidP="001B7D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B7D6C" w:rsidRPr="001B7D6C" w:rsidSect="00583FA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2B094" w14:textId="77777777" w:rsidR="0065739B" w:rsidRDefault="0065739B" w:rsidP="00690957">
      <w:pPr>
        <w:spacing w:after="0" w:line="240" w:lineRule="auto"/>
      </w:pPr>
      <w:r>
        <w:separator/>
      </w:r>
    </w:p>
  </w:endnote>
  <w:endnote w:type="continuationSeparator" w:id="0">
    <w:p w14:paraId="104453EB" w14:textId="77777777" w:rsidR="0065739B" w:rsidRDefault="0065739B" w:rsidP="006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FA0B" w14:textId="77777777" w:rsidR="0065739B" w:rsidRDefault="0065739B" w:rsidP="00690957">
      <w:pPr>
        <w:spacing w:after="0" w:line="240" w:lineRule="auto"/>
      </w:pPr>
      <w:r>
        <w:separator/>
      </w:r>
    </w:p>
  </w:footnote>
  <w:footnote w:type="continuationSeparator" w:id="0">
    <w:p w14:paraId="10D4347C" w14:textId="77777777" w:rsidR="0065739B" w:rsidRDefault="0065739B" w:rsidP="0069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722"/>
    <w:multiLevelType w:val="multilevel"/>
    <w:tmpl w:val="9FFE4AC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53CC1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813"/>
    <w:multiLevelType w:val="hybridMultilevel"/>
    <w:tmpl w:val="99EA0B9C"/>
    <w:lvl w:ilvl="0" w:tplc="6CFEE1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90C71"/>
    <w:multiLevelType w:val="hybridMultilevel"/>
    <w:tmpl w:val="32C2C954"/>
    <w:lvl w:ilvl="0" w:tplc="D9286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B5E"/>
    <w:multiLevelType w:val="hybridMultilevel"/>
    <w:tmpl w:val="4296F3FC"/>
    <w:lvl w:ilvl="0" w:tplc="272400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C1C19CC"/>
    <w:multiLevelType w:val="hybridMultilevel"/>
    <w:tmpl w:val="C66461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E18DD"/>
    <w:multiLevelType w:val="hybridMultilevel"/>
    <w:tmpl w:val="F35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3F35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356A"/>
    <w:multiLevelType w:val="hybridMultilevel"/>
    <w:tmpl w:val="CCDA82D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2270"/>
    <w:multiLevelType w:val="hybridMultilevel"/>
    <w:tmpl w:val="2A160848"/>
    <w:lvl w:ilvl="0" w:tplc="2A88128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F6C42"/>
    <w:multiLevelType w:val="hybridMultilevel"/>
    <w:tmpl w:val="84065DA8"/>
    <w:lvl w:ilvl="0" w:tplc="125EFE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B6B7A"/>
    <w:multiLevelType w:val="hybridMultilevel"/>
    <w:tmpl w:val="F99C840C"/>
    <w:lvl w:ilvl="0" w:tplc="50925C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7EE9"/>
    <w:multiLevelType w:val="hybridMultilevel"/>
    <w:tmpl w:val="EF3C9872"/>
    <w:lvl w:ilvl="0" w:tplc="6CFE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722C4"/>
    <w:multiLevelType w:val="hybridMultilevel"/>
    <w:tmpl w:val="8B0CF204"/>
    <w:lvl w:ilvl="0" w:tplc="F4060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8005B"/>
    <w:multiLevelType w:val="hybridMultilevel"/>
    <w:tmpl w:val="E5AA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658D5"/>
    <w:multiLevelType w:val="hybridMultilevel"/>
    <w:tmpl w:val="E954FA5A"/>
    <w:lvl w:ilvl="0" w:tplc="1B6451B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B05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20E6"/>
    <w:multiLevelType w:val="hybridMultilevel"/>
    <w:tmpl w:val="6E88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F27AE"/>
    <w:multiLevelType w:val="hybridMultilevel"/>
    <w:tmpl w:val="9BC2CB6E"/>
    <w:lvl w:ilvl="0" w:tplc="EC8672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DE174D"/>
    <w:multiLevelType w:val="hybridMultilevel"/>
    <w:tmpl w:val="4B348D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73807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83CFC"/>
    <w:multiLevelType w:val="hybridMultilevel"/>
    <w:tmpl w:val="F0DC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65DCF"/>
    <w:multiLevelType w:val="hybridMultilevel"/>
    <w:tmpl w:val="779278FE"/>
    <w:lvl w:ilvl="0" w:tplc="A39414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9B0"/>
    <w:multiLevelType w:val="multilevel"/>
    <w:tmpl w:val="5B9627A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C0591"/>
    <w:multiLevelType w:val="hybridMultilevel"/>
    <w:tmpl w:val="95C41EE6"/>
    <w:lvl w:ilvl="0" w:tplc="C35426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4938"/>
    <w:multiLevelType w:val="hybridMultilevel"/>
    <w:tmpl w:val="32C2C954"/>
    <w:lvl w:ilvl="0" w:tplc="D9286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7DF"/>
    <w:multiLevelType w:val="hybridMultilevel"/>
    <w:tmpl w:val="17CAFAFA"/>
    <w:lvl w:ilvl="0" w:tplc="B664A010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717280"/>
    <w:multiLevelType w:val="hybridMultilevel"/>
    <w:tmpl w:val="5BBE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B65CD"/>
    <w:multiLevelType w:val="hybridMultilevel"/>
    <w:tmpl w:val="686EE268"/>
    <w:lvl w:ilvl="0" w:tplc="50925C78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B4DA6"/>
    <w:multiLevelType w:val="multilevel"/>
    <w:tmpl w:val="344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A7173"/>
    <w:multiLevelType w:val="hybridMultilevel"/>
    <w:tmpl w:val="B86CA474"/>
    <w:lvl w:ilvl="0" w:tplc="5356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866CD2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B1C46"/>
    <w:multiLevelType w:val="hybridMultilevel"/>
    <w:tmpl w:val="C902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765CC"/>
    <w:multiLevelType w:val="hybridMultilevel"/>
    <w:tmpl w:val="CED410C2"/>
    <w:lvl w:ilvl="0" w:tplc="74D45CA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7E3699"/>
    <w:multiLevelType w:val="hybridMultilevel"/>
    <w:tmpl w:val="5D5AD722"/>
    <w:lvl w:ilvl="0" w:tplc="4A60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7"/>
  </w:num>
  <w:num w:numId="5">
    <w:abstractNumId w:val="10"/>
  </w:num>
  <w:num w:numId="6">
    <w:abstractNumId w:val="32"/>
  </w:num>
  <w:num w:numId="7">
    <w:abstractNumId w:val="29"/>
  </w:num>
  <w:num w:numId="8">
    <w:abstractNumId w:val="32"/>
  </w:num>
  <w:num w:numId="9">
    <w:abstractNumId w:val="16"/>
  </w:num>
  <w:num w:numId="10">
    <w:abstractNumId w:val="7"/>
  </w:num>
  <w:num w:numId="11">
    <w:abstractNumId w:val="14"/>
  </w:num>
  <w:num w:numId="12">
    <w:abstractNumId w:val="25"/>
  </w:num>
  <w:num w:numId="13">
    <w:abstractNumId w:val="33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20"/>
  </w:num>
  <w:num w:numId="19">
    <w:abstractNumId w:val="30"/>
  </w:num>
  <w:num w:numId="20">
    <w:abstractNumId w:val="32"/>
  </w:num>
  <w:num w:numId="21">
    <w:abstractNumId w:val="4"/>
  </w:num>
  <w:num w:numId="22">
    <w:abstractNumId w:val="26"/>
  </w:num>
  <w:num w:numId="23">
    <w:abstractNumId w:val="5"/>
  </w:num>
  <w:num w:numId="24">
    <w:abstractNumId w:val="18"/>
  </w:num>
  <w:num w:numId="25">
    <w:abstractNumId w:val="28"/>
  </w:num>
  <w:num w:numId="26">
    <w:abstractNumId w:val="2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4"/>
  </w:num>
  <w:num w:numId="32">
    <w:abstractNumId w:val="19"/>
  </w:num>
  <w:num w:numId="33">
    <w:abstractNumId w:val="3"/>
  </w:num>
  <w:num w:numId="34">
    <w:abstractNumId w:val="8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45"/>
    <w:rsid w:val="00000887"/>
    <w:rsid w:val="00002B41"/>
    <w:rsid w:val="00005D23"/>
    <w:rsid w:val="000060C0"/>
    <w:rsid w:val="0000760E"/>
    <w:rsid w:val="00010048"/>
    <w:rsid w:val="000314E9"/>
    <w:rsid w:val="0003453C"/>
    <w:rsid w:val="00037283"/>
    <w:rsid w:val="00040A91"/>
    <w:rsid w:val="000551C0"/>
    <w:rsid w:val="00056693"/>
    <w:rsid w:val="00064B32"/>
    <w:rsid w:val="00094D8A"/>
    <w:rsid w:val="00096CA8"/>
    <w:rsid w:val="000A6A18"/>
    <w:rsid w:val="000A7F81"/>
    <w:rsid w:val="000B6DA8"/>
    <w:rsid w:val="000C05BF"/>
    <w:rsid w:val="000E7E50"/>
    <w:rsid w:val="000F3CB8"/>
    <w:rsid w:val="000F6A10"/>
    <w:rsid w:val="00101036"/>
    <w:rsid w:val="00101D50"/>
    <w:rsid w:val="0010428E"/>
    <w:rsid w:val="001045C5"/>
    <w:rsid w:val="00104B48"/>
    <w:rsid w:val="001059A5"/>
    <w:rsid w:val="00110BF5"/>
    <w:rsid w:val="00121B21"/>
    <w:rsid w:val="00122B12"/>
    <w:rsid w:val="00124E83"/>
    <w:rsid w:val="00126D4B"/>
    <w:rsid w:val="0014287E"/>
    <w:rsid w:val="0016106A"/>
    <w:rsid w:val="001816FE"/>
    <w:rsid w:val="00190161"/>
    <w:rsid w:val="0019548C"/>
    <w:rsid w:val="001B0A07"/>
    <w:rsid w:val="001B5B86"/>
    <w:rsid w:val="001B7D6C"/>
    <w:rsid w:val="001D1793"/>
    <w:rsid w:val="001D5615"/>
    <w:rsid w:val="001D79CF"/>
    <w:rsid w:val="001E3D4C"/>
    <w:rsid w:val="001E772E"/>
    <w:rsid w:val="002115A6"/>
    <w:rsid w:val="00213721"/>
    <w:rsid w:val="00226B0A"/>
    <w:rsid w:val="00230F04"/>
    <w:rsid w:val="00244466"/>
    <w:rsid w:val="002506EB"/>
    <w:rsid w:val="00254A6E"/>
    <w:rsid w:val="00260923"/>
    <w:rsid w:val="0027360C"/>
    <w:rsid w:val="00274086"/>
    <w:rsid w:val="002B18ED"/>
    <w:rsid w:val="002B43F1"/>
    <w:rsid w:val="002C0DAD"/>
    <w:rsid w:val="002C6CAB"/>
    <w:rsid w:val="002C7509"/>
    <w:rsid w:val="002D2F5A"/>
    <w:rsid w:val="002D6EE3"/>
    <w:rsid w:val="002E0789"/>
    <w:rsid w:val="002F0BE1"/>
    <w:rsid w:val="002F1C25"/>
    <w:rsid w:val="002F3D7F"/>
    <w:rsid w:val="002F6DEE"/>
    <w:rsid w:val="00303F40"/>
    <w:rsid w:val="0031437B"/>
    <w:rsid w:val="00317099"/>
    <w:rsid w:val="00322615"/>
    <w:rsid w:val="00323C86"/>
    <w:rsid w:val="00330244"/>
    <w:rsid w:val="00333FB1"/>
    <w:rsid w:val="00337F4E"/>
    <w:rsid w:val="00344744"/>
    <w:rsid w:val="00350790"/>
    <w:rsid w:val="0035161A"/>
    <w:rsid w:val="00353031"/>
    <w:rsid w:val="0035630B"/>
    <w:rsid w:val="00357EB8"/>
    <w:rsid w:val="00364DF1"/>
    <w:rsid w:val="00371D87"/>
    <w:rsid w:val="00374BA4"/>
    <w:rsid w:val="00383D0F"/>
    <w:rsid w:val="00383E2E"/>
    <w:rsid w:val="003842D1"/>
    <w:rsid w:val="003B410A"/>
    <w:rsid w:val="003C0710"/>
    <w:rsid w:val="003C4AEC"/>
    <w:rsid w:val="003C771F"/>
    <w:rsid w:val="003D09C9"/>
    <w:rsid w:val="003D270B"/>
    <w:rsid w:val="003D6FBE"/>
    <w:rsid w:val="003F1917"/>
    <w:rsid w:val="003F3671"/>
    <w:rsid w:val="003F392D"/>
    <w:rsid w:val="003F46F3"/>
    <w:rsid w:val="004320FF"/>
    <w:rsid w:val="004336DC"/>
    <w:rsid w:val="00436630"/>
    <w:rsid w:val="00437A43"/>
    <w:rsid w:val="004408D6"/>
    <w:rsid w:val="004447E2"/>
    <w:rsid w:val="00465286"/>
    <w:rsid w:val="00465E5F"/>
    <w:rsid w:val="0047278C"/>
    <w:rsid w:val="004903BA"/>
    <w:rsid w:val="004910A5"/>
    <w:rsid w:val="00492170"/>
    <w:rsid w:val="004A25D0"/>
    <w:rsid w:val="004A7F47"/>
    <w:rsid w:val="004C28CD"/>
    <w:rsid w:val="004C4A02"/>
    <w:rsid w:val="004D3FC0"/>
    <w:rsid w:val="004E1AEF"/>
    <w:rsid w:val="004F5145"/>
    <w:rsid w:val="0050141F"/>
    <w:rsid w:val="00507D1E"/>
    <w:rsid w:val="00510BF1"/>
    <w:rsid w:val="005169D8"/>
    <w:rsid w:val="00522722"/>
    <w:rsid w:val="005262A5"/>
    <w:rsid w:val="0052729C"/>
    <w:rsid w:val="005312C9"/>
    <w:rsid w:val="00534A84"/>
    <w:rsid w:val="0054241B"/>
    <w:rsid w:val="005449AB"/>
    <w:rsid w:val="005513B2"/>
    <w:rsid w:val="00557E40"/>
    <w:rsid w:val="00570ACA"/>
    <w:rsid w:val="005727F1"/>
    <w:rsid w:val="00574DBA"/>
    <w:rsid w:val="00583FA9"/>
    <w:rsid w:val="0058465A"/>
    <w:rsid w:val="005A2BB0"/>
    <w:rsid w:val="005C0509"/>
    <w:rsid w:val="005D026C"/>
    <w:rsid w:val="005D0ECC"/>
    <w:rsid w:val="005D422F"/>
    <w:rsid w:val="005E3FEF"/>
    <w:rsid w:val="005E479E"/>
    <w:rsid w:val="005F1DD0"/>
    <w:rsid w:val="00603A34"/>
    <w:rsid w:val="00611BC9"/>
    <w:rsid w:val="0062567C"/>
    <w:rsid w:val="00633BEF"/>
    <w:rsid w:val="00644D70"/>
    <w:rsid w:val="006463E9"/>
    <w:rsid w:val="00651130"/>
    <w:rsid w:val="00653B33"/>
    <w:rsid w:val="00653C02"/>
    <w:rsid w:val="00655613"/>
    <w:rsid w:val="006565BE"/>
    <w:rsid w:val="0065739B"/>
    <w:rsid w:val="00661333"/>
    <w:rsid w:val="00666D95"/>
    <w:rsid w:val="006672BF"/>
    <w:rsid w:val="00681DA4"/>
    <w:rsid w:val="00682F76"/>
    <w:rsid w:val="006832DF"/>
    <w:rsid w:val="0068504E"/>
    <w:rsid w:val="006867FE"/>
    <w:rsid w:val="00690957"/>
    <w:rsid w:val="0069270B"/>
    <w:rsid w:val="00693833"/>
    <w:rsid w:val="006B05FC"/>
    <w:rsid w:val="006B1907"/>
    <w:rsid w:val="006C19CE"/>
    <w:rsid w:val="006C5490"/>
    <w:rsid w:val="006C5827"/>
    <w:rsid w:val="006D415B"/>
    <w:rsid w:val="006D77C3"/>
    <w:rsid w:val="006E04E3"/>
    <w:rsid w:val="006E1D18"/>
    <w:rsid w:val="00701806"/>
    <w:rsid w:val="007033D1"/>
    <w:rsid w:val="007124A2"/>
    <w:rsid w:val="00726DE0"/>
    <w:rsid w:val="00733334"/>
    <w:rsid w:val="00735322"/>
    <w:rsid w:val="00740B8A"/>
    <w:rsid w:val="007428D6"/>
    <w:rsid w:val="007440C1"/>
    <w:rsid w:val="00745BBD"/>
    <w:rsid w:val="00745DA6"/>
    <w:rsid w:val="007464D6"/>
    <w:rsid w:val="007602C3"/>
    <w:rsid w:val="007804A3"/>
    <w:rsid w:val="0078645A"/>
    <w:rsid w:val="007927BE"/>
    <w:rsid w:val="007B5CA8"/>
    <w:rsid w:val="007C0F11"/>
    <w:rsid w:val="007C4B03"/>
    <w:rsid w:val="007D1B10"/>
    <w:rsid w:val="007D20DE"/>
    <w:rsid w:val="007D2A96"/>
    <w:rsid w:val="007D34BE"/>
    <w:rsid w:val="007E2F07"/>
    <w:rsid w:val="007E694B"/>
    <w:rsid w:val="007E76CB"/>
    <w:rsid w:val="007E7971"/>
    <w:rsid w:val="007E79AB"/>
    <w:rsid w:val="007F16BD"/>
    <w:rsid w:val="007F35F6"/>
    <w:rsid w:val="008056F6"/>
    <w:rsid w:val="00810BDD"/>
    <w:rsid w:val="00816601"/>
    <w:rsid w:val="00824F12"/>
    <w:rsid w:val="0083764D"/>
    <w:rsid w:val="00844551"/>
    <w:rsid w:val="00847F53"/>
    <w:rsid w:val="00856ADD"/>
    <w:rsid w:val="00860401"/>
    <w:rsid w:val="00862062"/>
    <w:rsid w:val="00866A30"/>
    <w:rsid w:val="00883195"/>
    <w:rsid w:val="00885018"/>
    <w:rsid w:val="008A055B"/>
    <w:rsid w:val="008A21E9"/>
    <w:rsid w:val="008C6C8E"/>
    <w:rsid w:val="008D0A64"/>
    <w:rsid w:val="008D44DE"/>
    <w:rsid w:val="008D58A0"/>
    <w:rsid w:val="008E0205"/>
    <w:rsid w:val="008E65D9"/>
    <w:rsid w:val="008E676D"/>
    <w:rsid w:val="0090301D"/>
    <w:rsid w:val="00905CED"/>
    <w:rsid w:val="0091016B"/>
    <w:rsid w:val="00916223"/>
    <w:rsid w:val="00920350"/>
    <w:rsid w:val="009219B7"/>
    <w:rsid w:val="00927FAB"/>
    <w:rsid w:val="009304CF"/>
    <w:rsid w:val="0093445A"/>
    <w:rsid w:val="009368B1"/>
    <w:rsid w:val="00942146"/>
    <w:rsid w:val="009427F3"/>
    <w:rsid w:val="00942FB4"/>
    <w:rsid w:val="00955763"/>
    <w:rsid w:val="00957292"/>
    <w:rsid w:val="009603CA"/>
    <w:rsid w:val="00967AAA"/>
    <w:rsid w:val="00971E2C"/>
    <w:rsid w:val="00976345"/>
    <w:rsid w:val="00984F2F"/>
    <w:rsid w:val="00987740"/>
    <w:rsid w:val="00990FF6"/>
    <w:rsid w:val="009A0EEF"/>
    <w:rsid w:val="009A5D14"/>
    <w:rsid w:val="009B6F5E"/>
    <w:rsid w:val="009C3BA2"/>
    <w:rsid w:val="009C6CD3"/>
    <w:rsid w:val="009E3F01"/>
    <w:rsid w:val="009F5D9C"/>
    <w:rsid w:val="00A04347"/>
    <w:rsid w:val="00A04D8A"/>
    <w:rsid w:val="00A07E83"/>
    <w:rsid w:val="00A10922"/>
    <w:rsid w:val="00A1705A"/>
    <w:rsid w:val="00A20FEE"/>
    <w:rsid w:val="00A22AA7"/>
    <w:rsid w:val="00A234F3"/>
    <w:rsid w:val="00A36B13"/>
    <w:rsid w:val="00A41288"/>
    <w:rsid w:val="00A41EDA"/>
    <w:rsid w:val="00A420B2"/>
    <w:rsid w:val="00A478E6"/>
    <w:rsid w:val="00A66F7D"/>
    <w:rsid w:val="00A72E5F"/>
    <w:rsid w:val="00A75DA2"/>
    <w:rsid w:val="00A8258E"/>
    <w:rsid w:val="00A8402B"/>
    <w:rsid w:val="00AA0833"/>
    <w:rsid w:val="00AA46C8"/>
    <w:rsid w:val="00AA6172"/>
    <w:rsid w:val="00AC185A"/>
    <w:rsid w:val="00AC545D"/>
    <w:rsid w:val="00AD50A4"/>
    <w:rsid w:val="00AE4319"/>
    <w:rsid w:val="00AE4361"/>
    <w:rsid w:val="00AE624B"/>
    <w:rsid w:val="00B01A15"/>
    <w:rsid w:val="00B03BC2"/>
    <w:rsid w:val="00B1065B"/>
    <w:rsid w:val="00B22F77"/>
    <w:rsid w:val="00B30769"/>
    <w:rsid w:val="00B35926"/>
    <w:rsid w:val="00B37613"/>
    <w:rsid w:val="00B575FA"/>
    <w:rsid w:val="00B67B25"/>
    <w:rsid w:val="00B82025"/>
    <w:rsid w:val="00B84795"/>
    <w:rsid w:val="00B866F3"/>
    <w:rsid w:val="00B934B9"/>
    <w:rsid w:val="00B93856"/>
    <w:rsid w:val="00BA1FB2"/>
    <w:rsid w:val="00BB61D2"/>
    <w:rsid w:val="00BB6CAE"/>
    <w:rsid w:val="00BC010B"/>
    <w:rsid w:val="00BC04C6"/>
    <w:rsid w:val="00BD7C2D"/>
    <w:rsid w:val="00BE3324"/>
    <w:rsid w:val="00BF7E92"/>
    <w:rsid w:val="00C060BA"/>
    <w:rsid w:val="00C14A4F"/>
    <w:rsid w:val="00C17894"/>
    <w:rsid w:val="00C21280"/>
    <w:rsid w:val="00C2149C"/>
    <w:rsid w:val="00C230AC"/>
    <w:rsid w:val="00C2719D"/>
    <w:rsid w:val="00C32E1B"/>
    <w:rsid w:val="00C5057B"/>
    <w:rsid w:val="00C52F81"/>
    <w:rsid w:val="00C725A9"/>
    <w:rsid w:val="00C8060F"/>
    <w:rsid w:val="00C868A3"/>
    <w:rsid w:val="00C93138"/>
    <w:rsid w:val="00CA484B"/>
    <w:rsid w:val="00CA64B3"/>
    <w:rsid w:val="00CB11E0"/>
    <w:rsid w:val="00CC1540"/>
    <w:rsid w:val="00CC407E"/>
    <w:rsid w:val="00CC7A86"/>
    <w:rsid w:val="00CD075E"/>
    <w:rsid w:val="00CD65A3"/>
    <w:rsid w:val="00CE43CB"/>
    <w:rsid w:val="00CF127B"/>
    <w:rsid w:val="00CF497E"/>
    <w:rsid w:val="00D12B7E"/>
    <w:rsid w:val="00D31F95"/>
    <w:rsid w:val="00D35B69"/>
    <w:rsid w:val="00D362B4"/>
    <w:rsid w:val="00D366ED"/>
    <w:rsid w:val="00D36D29"/>
    <w:rsid w:val="00D46596"/>
    <w:rsid w:val="00D538F8"/>
    <w:rsid w:val="00D56D2F"/>
    <w:rsid w:val="00D749BE"/>
    <w:rsid w:val="00D751E1"/>
    <w:rsid w:val="00D83847"/>
    <w:rsid w:val="00D90C39"/>
    <w:rsid w:val="00DA4E0F"/>
    <w:rsid w:val="00DB0859"/>
    <w:rsid w:val="00DD08E8"/>
    <w:rsid w:val="00DE40E0"/>
    <w:rsid w:val="00DF07CE"/>
    <w:rsid w:val="00DF1E5A"/>
    <w:rsid w:val="00DF42E8"/>
    <w:rsid w:val="00DF6E74"/>
    <w:rsid w:val="00E00D29"/>
    <w:rsid w:val="00E00D67"/>
    <w:rsid w:val="00E15F23"/>
    <w:rsid w:val="00E163C2"/>
    <w:rsid w:val="00E16905"/>
    <w:rsid w:val="00E43FBF"/>
    <w:rsid w:val="00E47F3D"/>
    <w:rsid w:val="00E668E2"/>
    <w:rsid w:val="00E7180E"/>
    <w:rsid w:val="00E72456"/>
    <w:rsid w:val="00E75257"/>
    <w:rsid w:val="00E75B6C"/>
    <w:rsid w:val="00E76575"/>
    <w:rsid w:val="00E76808"/>
    <w:rsid w:val="00E877A8"/>
    <w:rsid w:val="00EC3AB5"/>
    <w:rsid w:val="00EC584A"/>
    <w:rsid w:val="00EC6F94"/>
    <w:rsid w:val="00ED2A72"/>
    <w:rsid w:val="00ED33C3"/>
    <w:rsid w:val="00ED7AB1"/>
    <w:rsid w:val="00EE3910"/>
    <w:rsid w:val="00EE64E8"/>
    <w:rsid w:val="00EE6996"/>
    <w:rsid w:val="00EF34A7"/>
    <w:rsid w:val="00EF3B44"/>
    <w:rsid w:val="00F0242D"/>
    <w:rsid w:val="00F133CC"/>
    <w:rsid w:val="00F20E18"/>
    <w:rsid w:val="00F27838"/>
    <w:rsid w:val="00F3362F"/>
    <w:rsid w:val="00F368A6"/>
    <w:rsid w:val="00F40E59"/>
    <w:rsid w:val="00F51C78"/>
    <w:rsid w:val="00F67017"/>
    <w:rsid w:val="00F70B7E"/>
    <w:rsid w:val="00F77C91"/>
    <w:rsid w:val="00F90AD6"/>
    <w:rsid w:val="00F95D46"/>
    <w:rsid w:val="00FA0912"/>
    <w:rsid w:val="00FB34B5"/>
    <w:rsid w:val="00FC1BE8"/>
    <w:rsid w:val="00FD1393"/>
    <w:rsid w:val="00FE63CD"/>
    <w:rsid w:val="00FE7844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F82"/>
  <w15:docId w15:val="{9C63C3A1-EAA7-4123-ADFB-C44A70C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214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74B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4B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4B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B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BA4"/>
    <w:rPr>
      <w:b/>
      <w:bCs/>
      <w:sz w:val="20"/>
      <w:szCs w:val="20"/>
    </w:rPr>
  </w:style>
  <w:style w:type="paragraph" w:styleId="ab">
    <w:name w:val="Normal (Web)"/>
    <w:basedOn w:val="a"/>
    <w:unhideWhenUsed/>
    <w:qFormat/>
    <w:rsid w:val="00E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90957"/>
  </w:style>
  <w:style w:type="paragraph" w:styleId="ae">
    <w:name w:val="footer"/>
    <w:basedOn w:val="a"/>
    <w:link w:val="af"/>
    <w:uiPriority w:val="99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957"/>
  </w:style>
  <w:style w:type="character" w:customStyle="1" w:styleId="hps">
    <w:name w:val="hps"/>
    <w:basedOn w:val="a0"/>
    <w:rsid w:val="0050141F"/>
  </w:style>
  <w:style w:type="paragraph" w:styleId="3">
    <w:name w:val="Body Text 3"/>
    <w:basedOn w:val="a"/>
    <w:link w:val="30"/>
    <w:rsid w:val="00501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50141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337F4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0">
    <w:name w:val="Об"/>
    <w:rsid w:val="002C0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10B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10BF1"/>
  </w:style>
  <w:style w:type="paragraph" w:styleId="af1">
    <w:name w:val="Body Text"/>
    <w:basedOn w:val="a"/>
    <w:link w:val="af2"/>
    <w:uiPriority w:val="99"/>
    <w:unhideWhenUsed/>
    <w:rsid w:val="007E694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E694B"/>
  </w:style>
  <w:style w:type="paragraph" w:customStyle="1" w:styleId="na">
    <w:name w:val="na"/>
    <w:basedOn w:val="a"/>
    <w:rsid w:val="00B938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302D-7961-4E5F-80E8-80B0FCB3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Назарец</dc:creator>
  <cp:lastModifiedBy>Наталья Ю. Кочкова</cp:lastModifiedBy>
  <cp:revision>4</cp:revision>
  <cp:lastPrinted>2018-09-20T12:56:00Z</cp:lastPrinted>
  <dcterms:created xsi:type="dcterms:W3CDTF">2019-12-10T15:07:00Z</dcterms:created>
  <dcterms:modified xsi:type="dcterms:W3CDTF">2020-04-22T06:51:00Z</dcterms:modified>
</cp:coreProperties>
</file>