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88" w:rsidRPr="00184596" w:rsidRDefault="00560888" w:rsidP="00560888">
      <w:pPr>
        <w:spacing w:line="360" w:lineRule="auto"/>
        <w:outlineLvl w:val="1"/>
        <w:rPr>
          <w:rFonts w:ascii="Times New Roman" w:hAnsi="Times New Roman" w:cs="Times New Roman"/>
        </w:rPr>
      </w:pPr>
      <w:bookmarkStart w:id="0" w:name="_Toc356906091"/>
      <w:bookmarkStart w:id="1" w:name="_Toc361516821"/>
      <w:bookmarkStart w:id="2" w:name="_Toc361517035"/>
      <w:bookmarkStart w:id="3" w:name="_Toc376615847"/>
    </w:p>
    <w:p w:rsidR="00560888" w:rsidRPr="00560888" w:rsidRDefault="00BD5D5D" w:rsidP="00560888">
      <w:pPr>
        <w:spacing w:line="360" w:lineRule="auto"/>
        <w:jc w:val="center"/>
        <w:outlineLvl w:val="1"/>
        <w:rPr>
          <w:rFonts w:ascii="Times New Roman" w:hAnsi="Times New Roman" w:cs="Times New Roman"/>
          <w:b/>
        </w:rPr>
      </w:pPr>
      <w:r>
        <w:rPr>
          <w:rFonts w:ascii="Times New Roman" w:hAnsi="Times New Roman" w:cs="Times New Roman"/>
          <w:b/>
        </w:rPr>
        <w:t>ЗВІТ ПРО УПРАВЛІННЯ</w:t>
      </w:r>
      <w:bookmarkStart w:id="4" w:name="_GoBack"/>
      <w:bookmarkEnd w:id="4"/>
      <w:r w:rsidR="00F8359D">
        <w:rPr>
          <w:rFonts w:ascii="Times New Roman" w:hAnsi="Times New Roman" w:cs="Times New Roman"/>
          <w:b/>
        </w:rPr>
        <w:t xml:space="preserve"> за 2021</w:t>
      </w:r>
      <w:r w:rsidR="0081726B">
        <w:rPr>
          <w:rFonts w:ascii="Times New Roman" w:hAnsi="Times New Roman" w:cs="Times New Roman"/>
          <w:b/>
        </w:rPr>
        <w:t xml:space="preserve"> рік</w:t>
      </w:r>
    </w:p>
    <w:p w:rsidR="00560888" w:rsidRDefault="00560888" w:rsidP="00560888">
      <w:pPr>
        <w:spacing w:line="360" w:lineRule="auto"/>
        <w:outlineLvl w:val="1"/>
        <w:rPr>
          <w:rFonts w:ascii="Times New Roman" w:hAnsi="Times New Roman" w:cs="Times New Roman"/>
        </w:rPr>
      </w:pPr>
    </w:p>
    <w:bookmarkEnd w:id="0"/>
    <w:bookmarkEnd w:id="1"/>
    <w:bookmarkEnd w:id="2"/>
    <w:bookmarkEnd w:id="3"/>
    <w:p w:rsidR="004D1BFC" w:rsidRPr="00560888" w:rsidRDefault="004C3014" w:rsidP="00560888">
      <w:pPr>
        <w:pStyle w:val="41"/>
        <w:numPr>
          <w:ilvl w:val="0"/>
          <w:numId w:val="1"/>
        </w:numPr>
        <w:tabs>
          <w:tab w:val="left" w:pos="284"/>
        </w:tabs>
        <w:spacing w:line="360" w:lineRule="auto"/>
        <w:ind w:left="0" w:firstLine="0"/>
        <w:outlineLvl w:val="1"/>
        <w:rPr>
          <w:rFonts w:ascii="Times New Roman" w:hAnsi="Times New Roman" w:cs="Times New Roman"/>
          <w:lang w:val="uk-UA" w:eastAsia="uk-UA"/>
        </w:rPr>
      </w:pPr>
      <w:r>
        <w:rPr>
          <w:rFonts w:ascii="Times New Roman" w:hAnsi="Times New Roman" w:cs="Times New Roman"/>
          <w:lang w:val="uk-UA" w:eastAsia="uk-UA"/>
        </w:rPr>
        <w:t>ОРГАНІЗАЦІЙНА СТРУКТУРА ТА ОПИС ДІЯЛЬНОСТІ ПІДПРИЄМСТВА</w:t>
      </w:r>
    </w:p>
    <w:p w:rsidR="004D1BFC" w:rsidRPr="00901D22" w:rsidRDefault="004C3014" w:rsidP="00560888">
      <w:pPr>
        <w:pStyle w:val="a3"/>
        <w:spacing w:before="120" w:line="276" w:lineRule="auto"/>
        <w:ind w:right="-1"/>
        <w:jc w:val="both"/>
        <w:rPr>
          <w:rFonts w:ascii="Times New Roman" w:hAnsi="Times New Roman" w:cs="Times New Roman"/>
          <w:lang w:eastAsia="uk-UA"/>
        </w:rPr>
      </w:pPr>
      <w:r>
        <w:rPr>
          <w:rFonts w:ascii="Times New Roman" w:hAnsi="Times New Roman" w:cs="Times New Roman"/>
          <w:lang w:eastAsia="uk-UA"/>
        </w:rPr>
        <w:t xml:space="preserve"> Підприємство</w:t>
      </w:r>
      <w:r w:rsidR="004D1BFC" w:rsidRPr="00901D22">
        <w:rPr>
          <w:rFonts w:ascii="Times New Roman" w:hAnsi="Times New Roman" w:cs="Times New Roman"/>
          <w:lang w:eastAsia="uk-UA"/>
        </w:rPr>
        <w:t xml:space="preserve"> ПрАТ «ФФ «Віо</w:t>
      </w:r>
      <w:r w:rsidR="004D1BFC" w:rsidRPr="00954F1E">
        <w:rPr>
          <w:rFonts w:ascii="Times New Roman" w:hAnsi="Times New Roman" w:cs="Times New Roman"/>
          <w:lang w:eastAsia="uk-UA"/>
        </w:rPr>
        <w:t xml:space="preserve">ла»»  </w:t>
      </w:r>
      <w:r w:rsidRPr="007D5293">
        <w:rPr>
          <w:rFonts w:ascii="Times New Roman" w:hAnsi="Times New Roman" w:cs="Times New Roman"/>
          <w:lang w:eastAsia="uk-UA"/>
        </w:rPr>
        <w:t>створене</w:t>
      </w:r>
      <w:r w:rsidR="004D1BFC" w:rsidRPr="007D5293">
        <w:rPr>
          <w:rFonts w:ascii="Times New Roman" w:hAnsi="Times New Roman" w:cs="Times New Roman"/>
          <w:lang w:eastAsia="uk-UA"/>
        </w:rPr>
        <w:t xml:space="preserve"> в 1993 р</w:t>
      </w:r>
      <w:r w:rsidR="004D1BFC" w:rsidRPr="00901D22">
        <w:rPr>
          <w:rFonts w:ascii="Times New Roman" w:hAnsi="Times New Roman" w:cs="Times New Roman"/>
          <w:lang w:eastAsia="uk-UA"/>
        </w:rPr>
        <w:t>. Основним напрямком діяльності є виро</w:t>
      </w:r>
      <w:r>
        <w:rPr>
          <w:rFonts w:ascii="Times New Roman" w:hAnsi="Times New Roman" w:cs="Times New Roman"/>
          <w:lang w:eastAsia="uk-UA"/>
        </w:rPr>
        <w:t>бництво та оптова торгівля лікарськими засобами та виробами</w:t>
      </w:r>
      <w:r w:rsidR="004D1BFC" w:rsidRPr="00901D22">
        <w:rPr>
          <w:rFonts w:ascii="Times New Roman" w:hAnsi="Times New Roman" w:cs="Times New Roman"/>
          <w:lang w:eastAsia="uk-UA"/>
        </w:rPr>
        <w:t xml:space="preserve"> медичного призначення. Станом на 31 грудня</w:t>
      </w:r>
      <w:r w:rsidR="004D1BFC">
        <w:rPr>
          <w:rFonts w:ascii="Times New Roman" w:hAnsi="Times New Roman" w:cs="Times New Roman"/>
          <w:lang w:eastAsia="uk-UA"/>
        </w:rPr>
        <w:t xml:space="preserve"> </w:t>
      </w:r>
      <w:r w:rsidR="00F8359D">
        <w:rPr>
          <w:rFonts w:ascii="Times New Roman" w:hAnsi="Times New Roman" w:cs="Times New Roman"/>
          <w:lang w:eastAsia="uk-UA"/>
        </w:rPr>
        <w:t xml:space="preserve"> 2021</w:t>
      </w:r>
      <w:r w:rsidR="004D1BFC" w:rsidRPr="00901D22">
        <w:rPr>
          <w:rFonts w:ascii="Times New Roman" w:hAnsi="Times New Roman" w:cs="Times New Roman"/>
          <w:lang w:eastAsia="uk-UA"/>
        </w:rPr>
        <w:t xml:space="preserve"> року виробництво</w:t>
      </w:r>
      <w:r>
        <w:rPr>
          <w:rFonts w:ascii="Times New Roman" w:hAnsi="Times New Roman" w:cs="Times New Roman"/>
          <w:lang w:eastAsia="uk-UA"/>
        </w:rPr>
        <w:t xml:space="preserve"> підприємства</w:t>
      </w:r>
      <w:r w:rsidR="00F8359D">
        <w:rPr>
          <w:rFonts w:ascii="Times New Roman" w:hAnsi="Times New Roman" w:cs="Times New Roman"/>
          <w:lang w:eastAsia="uk-UA"/>
        </w:rPr>
        <w:t xml:space="preserve"> було представлено шістьма</w:t>
      </w:r>
      <w:r w:rsidR="004D1BFC" w:rsidRPr="00901D22">
        <w:rPr>
          <w:rFonts w:ascii="Times New Roman" w:hAnsi="Times New Roman" w:cs="Times New Roman"/>
          <w:lang w:eastAsia="uk-UA"/>
        </w:rPr>
        <w:t xml:space="preserve"> основними цехами, а саме: </w:t>
      </w:r>
      <w:r w:rsidR="004D1BFC" w:rsidRPr="001E4DAB">
        <w:rPr>
          <w:rFonts w:ascii="Times New Roman" w:hAnsi="Times New Roman" w:cs="Times New Roman"/>
          <w:lang w:eastAsia="uk-UA"/>
        </w:rPr>
        <w:t>цех виробів медичного призначення, цех лікарсько-рослинної сировини, цех м'яких лікарських засобів, цех рідких лікарських засобів, цех фасування лікарських засобів</w:t>
      </w:r>
      <w:r w:rsidR="00F8359D">
        <w:rPr>
          <w:rFonts w:ascii="Times New Roman" w:hAnsi="Times New Roman" w:cs="Times New Roman"/>
          <w:lang w:eastAsia="uk-UA"/>
        </w:rPr>
        <w:t xml:space="preserve">, цех твердих лікарських засобів </w:t>
      </w:r>
      <w:r w:rsidR="004D1BFC" w:rsidRPr="001E4DAB">
        <w:rPr>
          <w:rFonts w:ascii="Times New Roman" w:hAnsi="Times New Roman" w:cs="Times New Roman"/>
          <w:lang w:eastAsia="uk-UA"/>
        </w:rPr>
        <w:t xml:space="preserve"> які знаходяться  в м. Запоріжжя.</w:t>
      </w:r>
    </w:p>
    <w:p w:rsidR="004D1BFC" w:rsidRPr="00901D22" w:rsidRDefault="004D1BFC" w:rsidP="004D1BFC">
      <w:pPr>
        <w:spacing w:before="120" w:line="276" w:lineRule="auto"/>
        <w:rPr>
          <w:rFonts w:ascii="Times New Roman" w:hAnsi="Times New Roman" w:cs="Times New Roman"/>
          <w:sz w:val="20"/>
          <w:szCs w:val="20"/>
        </w:rPr>
      </w:pPr>
      <w:r w:rsidRPr="00901D22">
        <w:rPr>
          <w:rFonts w:ascii="Times New Roman" w:hAnsi="Times New Roman" w:cs="Times New Roman"/>
          <w:sz w:val="20"/>
          <w:szCs w:val="20"/>
        </w:rPr>
        <w:t xml:space="preserve">Головний офіс </w:t>
      </w:r>
      <w:r w:rsidR="00D24980">
        <w:rPr>
          <w:rFonts w:ascii="Times New Roman" w:hAnsi="Times New Roman" w:cs="Times New Roman"/>
          <w:sz w:val="20"/>
          <w:szCs w:val="20"/>
        </w:rPr>
        <w:t xml:space="preserve">компанії </w:t>
      </w:r>
      <w:r w:rsidRPr="00901D22">
        <w:rPr>
          <w:rFonts w:ascii="Times New Roman" w:hAnsi="Times New Roman" w:cs="Times New Roman"/>
          <w:sz w:val="20"/>
          <w:szCs w:val="20"/>
        </w:rPr>
        <w:t xml:space="preserve"> знаходиться за адресою: вул. Складська, 4, м</w:t>
      </w:r>
      <w:r>
        <w:rPr>
          <w:rFonts w:ascii="Times New Roman" w:hAnsi="Times New Roman" w:cs="Times New Roman"/>
          <w:sz w:val="20"/>
          <w:szCs w:val="20"/>
        </w:rPr>
        <w:t>.</w:t>
      </w:r>
      <w:r w:rsidRPr="00901D22">
        <w:rPr>
          <w:rFonts w:ascii="Times New Roman" w:hAnsi="Times New Roman" w:cs="Times New Roman"/>
          <w:sz w:val="20"/>
          <w:szCs w:val="20"/>
        </w:rPr>
        <w:t xml:space="preserve"> Запоріжжя, Україна.</w:t>
      </w:r>
    </w:p>
    <w:p w:rsidR="004D1BFC" w:rsidRDefault="004D1BFC" w:rsidP="004D1BFC">
      <w:pPr>
        <w:spacing w:before="120" w:line="276" w:lineRule="auto"/>
        <w:jc w:val="both"/>
        <w:rPr>
          <w:rFonts w:ascii="Times New Roman" w:hAnsi="Times New Roman" w:cs="Times New Roman"/>
          <w:sz w:val="20"/>
          <w:szCs w:val="20"/>
        </w:rPr>
      </w:pPr>
      <w:r w:rsidRPr="00901D22">
        <w:rPr>
          <w:rFonts w:ascii="Times New Roman" w:hAnsi="Times New Roman" w:cs="Times New Roman"/>
          <w:sz w:val="20"/>
          <w:szCs w:val="20"/>
        </w:rPr>
        <w:t>Середн</w:t>
      </w:r>
      <w:r>
        <w:rPr>
          <w:rFonts w:ascii="Times New Roman" w:hAnsi="Times New Roman" w:cs="Times New Roman"/>
          <w:sz w:val="20"/>
          <w:szCs w:val="20"/>
        </w:rPr>
        <w:t>ьооблікова</w:t>
      </w:r>
      <w:r w:rsidRPr="00901D22">
        <w:rPr>
          <w:rFonts w:ascii="Times New Roman" w:hAnsi="Times New Roman" w:cs="Times New Roman"/>
          <w:sz w:val="20"/>
          <w:szCs w:val="20"/>
        </w:rPr>
        <w:t xml:space="preserve"> кількість працівників за р</w:t>
      </w:r>
      <w:r>
        <w:rPr>
          <w:rFonts w:ascii="Times New Roman" w:hAnsi="Times New Roman" w:cs="Times New Roman"/>
          <w:sz w:val="20"/>
          <w:szCs w:val="20"/>
        </w:rPr>
        <w:t>о</w:t>
      </w:r>
      <w:r w:rsidRPr="00901D22">
        <w:rPr>
          <w:rFonts w:ascii="Times New Roman" w:hAnsi="Times New Roman" w:cs="Times New Roman"/>
          <w:sz w:val="20"/>
          <w:szCs w:val="20"/>
        </w:rPr>
        <w:t>к</w:t>
      </w:r>
      <w:r>
        <w:rPr>
          <w:rFonts w:ascii="Times New Roman" w:hAnsi="Times New Roman" w:cs="Times New Roman"/>
          <w:sz w:val="20"/>
          <w:szCs w:val="20"/>
        </w:rPr>
        <w:t>и</w:t>
      </w:r>
      <w:r w:rsidRPr="00901D22">
        <w:rPr>
          <w:rFonts w:ascii="Times New Roman" w:hAnsi="Times New Roman" w:cs="Times New Roman"/>
          <w:sz w:val="20"/>
          <w:szCs w:val="20"/>
        </w:rPr>
        <w:t>, як</w:t>
      </w:r>
      <w:r>
        <w:rPr>
          <w:rFonts w:ascii="Times New Roman" w:hAnsi="Times New Roman" w:cs="Times New Roman"/>
          <w:sz w:val="20"/>
          <w:szCs w:val="20"/>
        </w:rPr>
        <w:t>і</w:t>
      </w:r>
      <w:r w:rsidRPr="00901D22">
        <w:rPr>
          <w:rFonts w:ascii="Times New Roman" w:hAnsi="Times New Roman" w:cs="Times New Roman"/>
          <w:sz w:val="20"/>
          <w:szCs w:val="20"/>
        </w:rPr>
        <w:t xml:space="preserve"> закінчи</w:t>
      </w:r>
      <w:r>
        <w:rPr>
          <w:rFonts w:ascii="Times New Roman" w:hAnsi="Times New Roman" w:cs="Times New Roman"/>
          <w:sz w:val="20"/>
          <w:szCs w:val="20"/>
        </w:rPr>
        <w:t xml:space="preserve">лися </w:t>
      </w:r>
      <w:r w:rsidRPr="00901D22">
        <w:rPr>
          <w:rFonts w:ascii="Times New Roman" w:hAnsi="Times New Roman" w:cs="Times New Roman"/>
          <w:sz w:val="20"/>
          <w:szCs w:val="20"/>
        </w:rPr>
        <w:t xml:space="preserve"> 31 грудня </w:t>
      </w:r>
      <w:r>
        <w:rPr>
          <w:rFonts w:ascii="Times New Roman" w:hAnsi="Times New Roman" w:cs="Times New Roman"/>
          <w:sz w:val="20"/>
          <w:szCs w:val="20"/>
        </w:rPr>
        <w:t xml:space="preserve"> </w:t>
      </w:r>
      <w:r w:rsidR="00462E21">
        <w:rPr>
          <w:rFonts w:ascii="Times New Roman" w:hAnsi="Times New Roman" w:cs="Times New Roman"/>
          <w:sz w:val="20"/>
          <w:szCs w:val="20"/>
        </w:rPr>
        <w:t>2021 року та 31 грудня 2020</w:t>
      </w:r>
      <w:r w:rsidRPr="00901D22">
        <w:rPr>
          <w:rFonts w:ascii="Times New Roman" w:hAnsi="Times New Roman" w:cs="Times New Roman"/>
          <w:sz w:val="20"/>
          <w:szCs w:val="20"/>
        </w:rPr>
        <w:t xml:space="preserve"> рок</w:t>
      </w:r>
      <w:r>
        <w:rPr>
          <w:rFonts w:ascii="Times New Roman" w:hAnsi="Times New Roman" w:cs="Times New Roman"/>
          <w:sz w:val="20"/>
          <w:szCs w:val="20"/>
        </w:rPr>
        <w:t>у</w:t>
      </w:r>
      <w:r w:rsidRPr="00901D22">
        <w:rPr>
          <w:rFonts w:ascii="Times New Roman" w:hAnsi="Times New Roman" w:cs="Times New Roman"/>
          <w:sz w:val="20"/>
          <w:szCs w:val="20"/>
        </w:rPr>
        <w:t xml:space="preserve"> </w:t>
      </w:r>
      <w:r w:rsidR="00462E21">
        <w:rPr>
          <w:rFonts w:ascii="Times New Roman" w:hAnsi="Times New Roman" w:cs="Times New Roman"/>
          <w:color w:val="auto"/>
          <w:sz w:val="20"/>
          <w:szCs w:val="20"/>
        </w:rPr>
        <w:t>була  382 та 395</w:t>
      </w:r>
      <w:r w:rsidRPr="007D5293">
        <w:rPr>
          <w:rFonts w:ascii="Times New Roman" w:hAnsi="Times New Roman" w:cs="Times New Roman"/>
          <w:color w:val="auto"/>
          <w:sz w:val="20"/>
          <w:szCs w:val="20"/>
        </w:rPr>
        <w:t xml:space="preserve"> </w:t>
      </w:r>
      <w:r>
        <w:rPr>
          <w:rFonts w:ascii="Times New Roman" w:hAnsi="Times New Roman" w:cs="Times New Roman"/>
          <w:sz w:val="20"/>
          <w:szCs w:val="20"/>
        </w:rPr>
        <w:t>особи</w:t>
      </w:r>
      <w:r w:rsidRPr="00901D22">
        <w:rPr>
          <w:rFonts w:ascii="Times New Roman" w:hAnsi="Times New Roman" w:cs="Times New Roman"/>
          <w:sz w:val="20"/>
          <w:szCs w:val="20"/>
        </w:rPr>
        <w:t xml:space="preserve"> відповідно.</w:t>
      </w:r>
    </w:p>
    <w:p w:rsidR="004C3014" w:rsidRDefault="004C3014" w:rsidP="004C3014">
      <w:pPr>
        <w:pStyle w:val="aa"/>
        <w:numPr>
          <w:ilvl w:val="0"/>
          <w:numId w:val="1"/>
        </w:numPr>
        <w:spacing w:before="120" w:line="276" w:lineRule="auto"/>
        <w:jc w:val="both"/>
        <w:rPr>
          <w:rFonts w:ascii="Times New Roman" w:hAnsi="Times New Roman" w:cs="Times New Roman"/>
          <w:b/>
          <w:sz w:val="20"/>
          <w:szCs w:val="20"/>
        </w:rPr>
      </w:pPr>
      <w:r w:rsidRPr="004C3014">
        <w:rPr>
          <w:rFonts w:ascii="Times New Roman" w:hAnsi="Times New Roman" w:cs="Times New Roman"/>
          <w:b/>
          <w:sz w:val="20"/>
          <w:szCs w:val="20"/>
        </w:rPr>
        <w:t>РЕЗУЛЬТАТИ ДІЯЛЬНОСТІ</w:t>
      </w:r>
    </w:p>
    <w:p w:rsidR="005076F8" w:rsidRDefault="005076F8" w:rsidP="005076F8">
      <w:pPr>
        <w:spacing w:before="120" w:line="276" w:lineRule="auto"/>
        <w:jc w:val="both"/>
        <w:rPr>
          <w:rFonts w:ascii="Times New Roman" w:hAnsi="Times New Roman" w:cs="Times New Roman"/>
          <w:b/>
          <w:sz w:val="20"/>
          <w:szCs w:val="20"/>
        </w:rPr>
      </w:pPr>
    </w:p>
    <w:p w:rsidR="005076F8" w:rsidRPr="00FD1070" w:rsidRDefault="005076F8" w:rsidP="005076F8">
      <w:pPr>
        <w:jc w:val="center"/>
        <w:rPr>
          <w:rFonts w:ascii="Times New Roman" w:hAnsi="Times New Roman" w:cs="Times New Roman"/>
          <w:b/>
          <w:sz w:val="20"/>
          <w:szCs w:val="20"/>
        </w:rPr>
      </w:pPr>
      <w:r w:rsidRPr="00FD1070">
        <w:rPr>
          <w:rFonts w:ascii="Times New Roman" w:hAnsi="Times New Roman" w:cs="Times New Roman"/>
          <w:b/>
          <w:sz w:val="20"/>
          <w:szCs w:val="20"/>
        </w:rPr>
        <w:t>Основні показники фінансово-господарської діяльності підприємства (тис. грн.)</w:t>
      </w:r>
    </w:p>
    <w:p w:rsidR="005076F8" w:rsidRPr="00FD1070" w:rsidRDefault="005076F8" w:rsidP="005076F8">
      <w:pPr>
        <w:jc w:val="center"/>
        <w:rPr>
          <w:rFonts w:ascii="Times New Roman" w:hAnsi="Times New Roman" w:cs="Times New Roman"/>
          <w:b/>
          <w:sz w:val="20"/>
          <w:szCs w:val="20"/>
        </w:rPr>
      </w:pPr>
    </w:p>
    <w:tbl>
      <w:tblPr>
        <w:tblpPr w:leftFromText="180" w:rightFromText="180" w:bottomFromText="115"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0"/>
        <w:gridCol w:w="2745"/>
        <w:gridCol w:w="2910"/>
      </w:tblGrid>
      <w:tr w:rsidR="005076F8" w:rsidRPr="00FD1070" w:rsidTr="00FD1070">
        <w:trPr>
          <w:cantSplit/>
          <w:trHeight w:val="340"/>
        </w:trPr>
        <w:tc>
          <w:tcPr>
            <w:tcW w:w="3680" w:type="dxa"/>
            <w:vMerge w:val="restart"/>
            <w:tcMar>
              <w:top w:w="0" w:type="dxa"/>
              <w:left w:w="108" w:type="dxa"/>
              <w:bottom w:w="0" w:type="dxa"/>
              <w:right w:w="108" w:type="dxa"/>
            </w:tcMar>
          </w:tcPr>
          <w:p w:rsidR="005076F8" w:rsidRPr="00FD1070" w:rsidRDefault="005076F8" w:rsidP="007663AB">
            <w:pPr>
              <w:spacing w:line="276" w:lineRule="auto"/>
              <w:jc w:val="center"/>
              <w:rPr>
                <w:rFonts w:ascii="Times New Roman" w:hAnsi="Times New Roman" w:cs="Times New Roman"/>
                <w:b/>
                <w:bCs/>
                <w:sz w:val="20"/>
                <w:szCs w:val="20"/>
              </w:rPr>
            </w:pPr>
          </w:p>
          <w:p w:rsidR="005076F8" w:rsidRPr="00FD1070" w:rsidRDefault="005076F8" w:rsidP="007663AB">
            <w:pPr>
              <w:spacing w:line="276" w:lineRule="auto"/>
              <w:jc w:val="center"/>
              <w:rPr>
                <w:rFonts w:ascii="Times New Roman" w:hAnsi="Times New Roman" w:cs="Times New Roman"/>
                <w:b/>
                <w:bCs/>
                <w:sz w:val="20"/>
                <w:szCs w:val="20"/>
              </w:rPr>
            </w:pPr>
            <w:r w:rsidRPr="00FD1070">
              <w:rPr>
                <w:rFonts w:ascii="Times New Roman" w:hAnsi="Times New Roman" w:cs="Times New Roman"/>
                <w:b/>
                <w:bCs/>
                <w:sz w:val="20"/>
                <w:szCs w:val="20"/>
              </w:rPr>
              <w:t>Найменування показника</w:t>
            </w:r>
          </w:p>
        </w:tc>
        <w:tc>
          <w:tcPr>
            <w:tcW w:w="5655" w:type="dxa"/>
            <w:gridSpan w:val="2"/>
            <w:tcMar>
              <w:top w:w="0" w:type="dxa"/>
              <w:left w:w="108" w:type="dxa"/>
              <w:bottom w:w="0" w:type="dxa"/>
              <w:right w:w="108" w:type="dxa"/>
            </w:tcMar>
            <w:hideMark/>
          </w:tcPr>
          <w:p w:rsidR="005076F8" w:rsidRPr="00FD1070" w:rsidRDefault="005076F8" w:rsidP="007663AB">
            <w:pPr>
              <w:spacing w:line="276" w:lineRule="auto"/>
              <w:jc w:val="center"/>
              <w:rPr>
                <w:rFonts w:ascii="Times New Roman" w:hAnsi="Times New Roman" w:cs="Times New Roman"/>
                <w:b/>
                <w:bCs/>
                <w:sz w:val="20"/>
                <w:szCs w:val="20"/>
              </w:rPr>
            </w:pPr>
            <w:r w:rsidRPr="00FD1070">
              <w:rPr>
                <w:rFonts w:ascii="Times New Roman" w:hAnsi="Times New Roman" w:cs="Times New Roman"/>
                <w:b/>
                <w:bCs/>
                <w:sz w:val="20"/>
                <w:szCs w:val="20"/>
              </w:rPr>
              <w:t>період </w:t>
            </w:r>
          </w:p>
        </w:tc>
      </w:tr>
      <w:tr w:rsidR="005076F8" w:rsidRPr="00FD1070" w:rsidTr="00FD1070">
        <w:trPr>
          <w:cantSplit/>
          <w:trHeight w:val="552"/>
        </w:trPr>
        <w:tc>
          <w:tcPr>
            <w:tcW w:w="3680" w:type="dxa"/>
            <w:vMerge/>
            <w:vAlign w:val="center"/>
            <w:hideMark/>
          </w:tcPr>
          <w:p w:rsidR="005076F8" w:rsidRPr="00FD1070" w:rsidRDefault="005076F8" w:rsidP="007663AB">
            <w:pPr>
              <w:rPr>
                <w:rFonts w:ascii="Times New Roman" w:hAnsi="Times New Roman" w:cs="Times New Roman"/>
                <w:b/>
                <w:bCs/>
                <w:sz w:val="20"/>
                <w:szCs w:val="20"/>
              </w:rPr>
            </w:pPr>
          </w:p>
        </w:tc>
        <w:tc>
          <w:tcPr>
            <w:tcW w:w="2745" w:type="dxa"/>
            <w:tcMar>
              <w:top w:w="0" w:type="dxa"/>
              <w:left w:w="108" w:type="dxa"/>
              <w:bottom w:w="0" w:type="dxa"/>
              <w:right w:w="108" w:type="dxa"/>
            </w:tcMar>
            <w:hideMark/>
          </w:tcPr>
          <w:p w:rsidR="005076F8" w:rsidRPr="00FD1070" w:rsidRDefault="005076F8" w:rsidP="007663AB">
            <w:pPr>
              <w:spacing w:line="276" w:lineRule="auto"/>
              <w:jc w:val="center"/>
              <w:rPr>
                <w:rFonts w:ascii="Times New Roman" w:hAnsi="Times New Roman" w:cs="Times New Roman"/>
                <w:b/>
                <w:bCs/>
                <w:sz w:val="20"/>
                <w:szCs w:val="20"/>
              </w:rPr>
            </w:pPr>
            <w:r w:rsidRPr="00FD1070">
              <w:rPr>
                <w:rFonts w:ascii="Times New Roman" w:hAnsi="Times New Roman" w:cs="Times New Roman"/>
                <w:b/>
                <w:bCs/>
                <w:sz w:val="20"/>
                <w:szCs w:val="20"/>
              </w:rPr>
              <w:t>Звітний</w:t>
            </w:r>
          </w:p>
          <w:p w:rsidR="005076F8" w:rsidRPr="00FD1070" w:rsidRDefault="00EA1069" w:rsidP="007663AB">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2021</w:t>
            </w:r>
            <w:r w:rsidR="005076F8" w:rsidRPr="00FD1070">
              <w:rPr>
                <w:rFonts w:ascii="Times New Roman" w:hAnsi="Times New Roman" w:cs="Times New Roman"/>
                <w:b/>
                <w:bCs/>
                <w:sz w:val="20"/>
                <w:szCs w:val="20"/>
              </w:rPr>
              <w:t xml:space="preserve"> рік</w:t>
            </w:r>
          </w:p>
        </w:tc>
        <w:tc>
          <w:tcPr>
            <w:tcW w:w="2910" w:type="dxa"/>
            <w:tcMar>
              <w:top w:w="0" w:type="dxa"/>
              <w:left w:w="108" w:type="dxa"/>
              <w:bottom w:w="0" w:type="dxa"/>
              <w:right w:w="108" w:type="dxa"/>
            </w:tcMar>
            <w:hideMark/>
          </w:tcPr>
          <w:p w:rsidR="005076F8" w:rsidRPr="00FD1070" w:rsidRDefault="005076F8" w:rsidP="007663AB">
            <w:pPr>
              <w:spacing w:line="276" w:lineRule="auto"/>
              <w:jc w:val="center"/>
              <w:rPr>
                <w:rFonts w:ascii="Times New Roman" w:hAnsi="Times New Roman" w:cs="Times New Roman"/>
                <w:b/>
                <w:bCs/>
                <w:sz w:val="20"/>
                <w:szCs w:val="20"/>
              </w:rPr>
            </w:pPr>
            <w:r w:rsidRPr="00FD1070">
              <w:rPr>
                <w:rFonts w:ascii="Times New Roman" w:hAnsi="Times New Roman" w:cs="Times New Roman"/>
                <w:b/>
                <w:bCs/>
                <w:sz w:val="20"/>
                <w:szCs w:val="20"/>
              </w:rPr>
              <w:t>Попередній</w:t>
            </w:r>
          </w:p>
          <w:p w:rsidR="005076F8" w:rsidRPr="00FD1070" w:rsidRDefault="007E244D" w:rsidP="007663AB">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2020</w:t>
            </w:r>
            <w:r w:rsidR="005076F8" w:rsidRPr="00FD1070">
              <w:rPr>
                <w:rFonts w:ascii="Times New Roman" w:hAnsi="Times New Roman" w:cs="Times New Roman"/>
                <w:b/>
                <w:bCs/>
                <w:sz w:val="20"/>
                <w:szCs w:val="20"/>
              </w:rPr>
              <w:t xml:space="preserve"> рік</w:t>
            </w:r>
          </w:p>
        </w:tc>
      </w:tr>
      <w:tr w:rsidR="005076F8" w:rsidRPr="00FD1070" w:rsidTr="000E17BD">
        <w:trPr>
          <w:trHeight w:val="249"/>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 xml:space="preserve">Усього активів </w:t>
            </w:r>
          </w:p>
        </w:tc>
        <w:tc>
          <w:tcPr>
            <w:tcW w:w="2745"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247 084</w:t>
            </w:r>
          </w:p>
        </w:tc>
        <w:tc>
          <w:tcPr>
            <w:tcW w:w="2910" w:type="dxa"/>
            <w:tcMar>
              <w:top w:w="0" w:type="dxa"/>
              <w:left w:w="108" w:type="dxa"/>
              <w:bottom w:w="0" w:type="dxa"/>
              <w:right w:w="108" w:type="dxa"/>
            </w:tcMar>
          </w:tcPr>
          <w:p w:rsidR="005076F8" w:rsidRPr="00FD1070" w:rsidRDefault="00AA7AC3" w:rsidP="00FD1070">
            <w:pPr>
              <w:jc w:val="center"/>
              <w:rPr>
                <w:rFonts w:ascii="Times New Roman" w:hAnsi="Times New Roman" w:cs="Times New Roman"/>
                <w:sz w:val="20"/>
                <w:szCs w:val="20"/>
              </w:rPr>
            </w:pPr>
            <w:r>
              <w:rPr>
                <w:rFonts w:ascii="Times New Roman" w:hAnsi="Times New Roman" w:cs="Times New Roman"/>
                <w:sz w:val="20"/>
                <w:szCs w:val="20"/>
              </w:rPr>
              <w:t>216 528</w:t>
            </w:r>
          </w:p>
        </w:tc>
      </w:tr>
      <w:tr w:rsidR="005076F8" w:rsidRPr="00FD1070" w:rsidTr="000E17BD">
        <w:trPr>
          <w:cantSplit/>
          <w:trHeight w:val="280"/>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Основні засоби  </w:t>
            </w:r>
          </w:p>
        </w:tc>
        <w:tc>
          <w:tcPr>
            <w:tcW w:w="2745"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44 250</w:t>
            </w:r>
          </w:p>
        </w:tc>
        <w:tc>
          <w:tcPr>
            <w:tcW w:w="2910" w:type="dxa"/>
          </w:tcPr>
          <w:p w:rsidR="005076F8" w:rsidRPr="00FD1070" w:rsidRDefault="00AA7AC3" w:rsidP="00FD1070">
            <w:pPr>
              <w:jc w:val="center"/>
              <w:rPr>
                <w:rFonts w:ascii="Times New Roman" w:hAnsi="Times New Roman" w:cs="Times New Roman"/>
                <w:sz w:val="20"/>
                <w:szCs w:val="20"/>
              </w:rPr>
            </w:pPr>
            <w:r>
              <w:rPr>
                <w:rFonts w:ascii="Times New Roman" w:hAnsi="Times New Roman" w:cs="Times New Roman"/>
                <w:sz w:val="20"/>
                <w:szCs w:val="20"/>
              </w:rPr>
              <w:t>32 890</w:t>
            </w:r>
          </w:p>
        </w:tc>
      </w:tr>
      <w:tr w:rsidR="005076F8" w:rsidRPr="00FD1070" w:rsidTr="000E17BD">
        <w:trPr>
          <w:trHeight w:val="340"/>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Довгострокові фінансові інвестиції  </w:t>
            </w:r>
          </w:p>
        </w:tc>
        <w:tc>
          <w:tcPr>
            <w:tcW w:w="2745" w:type="dxa"/>
            <w:tcMar>
              <w:top w:w="0" w:type="dxa"/>
              <w:left w:w="108" w:type="dxa"/>
              <w:bottom w:w="0" w:type="dxa"/>
              <w:right w:w="108" w:type="dxa"/>
            </w:tcMar>
          </w:tcPr>
          <w:p w:rsidR="005076F8" w:rsidRPr="00FD1070" w:rsidRDefault="005076F8" w:rsidP="00FD1070">
            <w:pPr>
              <w:jc w:val="center"/>
              <w:rPr>
                <w:rFonts w:ascii="Times New Roman" w:hAnsi="Times New Roman" w:cs="Times New Roman"/>
                <w:sz w:val="20"/>
                <w:szCs w:val="20"/>
              </w:rPr>
            </w:pPr>
          </w:p>
        </w:tc>
        <w:tc>
          <w:tcPr>
            <w:tcW w:w="2910" w:type="dxa"/>
            <w:tcMar>
              <w:top w:w="0" w:type="dxa"/>
              <w:left w:w="108" w:type="dxa"/>
              <w:bottom w:w="0" w:type="dxa"/>
              <w:right w:w="108" w:type="dxa"/>
            </w:tcMar>
          </w:tcPr>
          <w:p w:rsidR="005076F8" w:rsidRPr="00FD1070" w:rsidRDefault="005076F8" w:rsidP="00FD1070">
            <w:pPr>
              <w:jc w:val="center"/>
              <w:rPr>
                <w:rFonts w:ascii="Times New Roman" w:hAnsi="Times New Roman" w:cs="Times New Roman"/>
                <w:sz w:val="20"/>
                <w:szCs w:val="20"/>
              </w:rPr>
            </w:pPr>
          </w:p>
        </w:tc>
      </w:tr>
      <w:tr w:rsidR="005076F8" w:rsidRPr="00FD1070" w:rsidTr="000E17BD">
        <w:trPr>
          <w:trHeight w:val="340"/>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Запаси </w:t>
            </w:r>
          </w:p>
        </w:tc>
        <w:tc>
          <w:tcPr>
            <w:tcW w:w="2745"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75 458</w:t>
            </w:r>
          </w:p>
        </w:tc>
        <w:tc>
          <w:tcPr>
            <w:tcW w:w="2910"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57 866</w:t>
            </w:r>
          </w:p>
        </w:tc>
      </w:tr>
      <w:tr w:rsidR="005076F8" w:rsidRPr="00FD1070" w:rsidTr="000E17BD">
        <w:trPr>
          <w:trHeight w:val="340"/>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Сумарна дебіторська заборгованість  </w:t>
            </w:r>
          </w:p>
        </w:tc>
        <w:tc>
          <w:tcPr>
            <w:tcW w:w="2745"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121 561</w:t>
            </w:r>
          </w:p>
        </w:tc>
        <w:tc>
          <w:tcPr>
            <w:tcW w:w="2910" w:type="dxa"/>
            <w:tcMar>
              <w:top w:w="0" w:type="dxa"/>
              <w:left w:w="108" w:type="dxa"/>
              <w:bottom w:w="0" w:type="dxa"/>
              <w:right w:w="108" w:type="dxa"/>
            </w:tcMar>
          </w:tcPr>
          <w:p w:rsidR="005076F8" w:rsidRPr="00FD1070" w:rsidRDefault="00AA7AC3" w:rsidP="00FD1070">
            <w:pPr>
              <w:jc w:val="center"/>
              <w:rPr>
                <w:rFonts w:ascii="Times New Roman" w:hAnsi="Times New Roman" w:cs="Times New Roman"/>
                <w:sz w:val="20"/>
                <w:szCs w:val="20"/>
              </w:rPr>
            </w:pPr>
            <w:r>
              <w:rPr>
                <w:rFonts w:ascii="Times New Roman" w:hAnsi="Times New Roman" w:cs="Times New Roman"/>
                <w:sz w:val="20"/>
                <w:szCs w:val="20"/>
              </w:rPr>
              <w:t>107 154</w:t>
            </w:r>
          </w:p>
        </w:tc>
      </w:tr>
      <w:tr w:rsidR="005076F8" w:rsidRPr="00FD1070" w:rsidTr="000E17BD">
        <w:trPr>
          <w:trHeight w:val="340"/>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Грошові кошти та їх еквіваленти </w:t>
            </w:r>
          </w:p>
        </w:tc>
        <w:tc>
          <w:tcPr>
            <w:tcW w:w="2745"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349</w:t>
            </w:r>
          </w:p>
        </w:tc>
        <w:tc>
          <w:tcPr>
            <w:tcW w:w="2910" w:type="dxa"/>
            <w:tcMar>
              <w:top w:w="0" w:type="dxa"/>
              <w:left w:w="108" w:type="dxa"/>
              <w:bottom w:w="0" w:type="dxa"/>
              <w:right w:w="108" w:type="dxa"/>
            </w:tcMar>
          </w:tcPr>
          <w:p w:rsidR="005076F8" w:rsidRPr="00FD1070" w:rsidRDefault="00AA7AC3" w:rsidP="00FD1070">
            <w:pPr>
              <w:jc w:val="center"/>
              <w:rPr>
                <w:rFonts w:ascii="Times New Roman" w:hAnsi="Times New Roman" w:cs="Times New Roman"/>
                <w:sz w:val="20"/>
                <w:szCs w:val="20"/>
              </w:rPr>
            </w:pPr>
            <w:r>
              <w:rPr>
                <w:rFonts w:ascii="Times New Roman" w:hAnsi="Times New Roman" w:cs="Times New Roman"/>
                <w:sz w:val="20"/>
                <w:szCs w:val="20"/>
              </w:rPr>
              <w:t>370</w:t>
            </w:r>
          </w:p>
        </w:tc>
      </w:tr>
      <w:tr w:rsidR="005076F8" w:rsidRPr="00FD1070" w:rsidTr="000E17BD">
        <w:trPr>
          <w:trHeight w:val="340"/>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Нерозподілений прибуток </w:t>
            </w:r>
          </w:p>
        </w:tc>
        <w:tc>
          <w:tcPr>
            <w:tcW w:w="2745"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79 464</w:t>
            </w:r>
          </w:p>
        </w:tc>
        <w:tc>
          <w:tcPr>
            <w:tcW w:w="2910" w:type="dxa"/>
            <w:tcMar>
              <w:top w:w="0" w:type="dxa"/>
              <w:left w:w="108" w:type="dxa"/>
              <w:bottom w:w="0" w:type="dxa"/>
              <w:right w:w="108" w:type="dxa"/>
            </w:tcMar>
          </w:tcPr>
          <w:p w:rsidR="005076F8" w:rsidRPr="00FD1070" w:rsidRDefault="00AA7AC3" w:rsidP="00FD1070">
            <w:pPr>
              <w:jc w:val="center"/>
              <w:rPr>
                <w:rFonts w:ascii="Times New Roman" w:hAnsi="Times New Roman" w:cs="Times New Roman"/>
                <w:sz w:val="20"/>
                <w:szCs w:val="20"/>
              </w:rPr>
            </w:pPr>
            <w:r>
              <w:rPr>
                <w:rFonts w:ascii="Times New Roman" w:hAnsi="Times New Roman" w:cs="Times New Roman"/>
                <w:sz w:val="20"/>
                <w:szCs w:val="20"/>
              </w:rPr>
              <w:t>87 226</w:t>
            </w:r>
          </w:p>
        </w:tc>
      </w:tr>
      <w:tr w:rsidR="005076F8" w:rsidRPr="00FD1070" w:rsidTr="000E17BD">
        <w:trPr>
          <w:trHeight w:val="340"/>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Власний капітал </w:t>
            </w:r>
          </w:p>
        </w:tc>
        <w:tc>
          <w:tcPr>
            <w:tcW w:w="2745"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119 171</w:t>
            </w:r>
          </w:p>
        </w:tc>
        <w:tc>
          <w:tcPr>
            <w:tcW w:w="2910" w:type="dxa"/>
            <w:tcMar>
              <w:top w:w="0" w:type="dxa"/>
              <w:left w:w="108" w:type="dxa"/>
              <w:bottom w:w="0" w:type="dxa"/>
              <w:right w:w="108" w:type="dxa"/>
            </w:tcMar>
          </w:tcPr>
          <w:p w:rsidR="005076F8" w:rsidRPr="00FD1070" w:rsidRDefault="00AA7AC3" w:rsidP="00FD1070">
            <w:pPr>
              <w:jc w:val="center"/>
              <w:rPr>
                <w:rFonts w:ascii="Times New Roman" w:hAnsi="Times New Roman" w:cs="Times New Roman"/>
                <w:sz w:val="20"/>
                <w:szCs w:val="20"/>
              </w:rPr>
            </w:pPr>
            <w:r>
              <w:rPr>
                <w:rFonts w:ascii="Times New Roman" w:hAnsi="Times New Roman" w:cs="Times New Roman"/>
                <w:sz w:val="20"/>
                <w:szCs w:val="20"/>
              </w:rPr>
              <w:t>126 933</w:t>
            </w:r>
          </w:p>
        </w:tc>
      </w:tr>
      <w:tr w:rsidR="005076F8" w:rsidRPr="00FD1070" w:rsidTr="000E17BD">
        <w:trPr>
          <w:trHeight w:val="340"/>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Статутний капітал </w:t>
            </w:r>
          </w:p>
        </w:tc>
        <w:tc>
          <w:tcPr>
            <w:tcW w:w="2745"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14 896</w:t>
            </w:r>
          </w:p>
        </w:tc>
        <w:tc>
          <w:tcPr>
            <w:tcW w:w="2910" w:type="dxa"/>
            <w:tcMar>
              <w:top w:w="0" w:type="dxa"/>
              <w:left w:w="108" w:type="dxa"/>
              <w:bottom w:w="0" w:type="dxa"/>
              <w:right w:w="108" w:type="dxa"/>
            </w:tcMar>
          </w:tcPr>
          <w:p w:rsidR="005076F8" w:rsidRPr="00FD1070" w:rsidRDefault="00AA7AC3" w:rsidP="00FD1070">
            <w:pPr>
              <w:jc w:val="center"/>
              <w:rPr>
                <w:rFonts w:ascii="Times New Roman" w:hAnsi="Times New Roman" w:cs="Times New Roman"/>
                <w:sz w:val="20"/>
                <w:szCs w:val="20"/>
              </w:rPr>
            </w:pPr>
            <w:r>
              <w:rPr>
                <w:rFonts w:ascii="Times New Roman" w:hAnsi="Times New Roman" w:cs="Times New Roman"/>
                <w:sz w:val="20"/>
                <w:szCs w:val="20"/>
              </w:rPr>
              <w:t>14 896</w:t>
            </w:r>
          </w:p>
        </w:tc>
      </w:tr>
      <w:tr w:rsidR="005076F8" w:rsidRPr="00FD1070" w:rsidTr="000E17BD">
        <w:trPr>
          <w:trHeight w:val="340"/>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Довгострокові зобов'язання </w:t>
            </w:r>
          </w:p>
        </w:tc>
        <w:tc>
          <w:tcPr>
            <w:tcW w:w="2745"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30 794</w:t>
            </w:r>
          </w:p>
        </w:tc>
        <w:tc>
          <w:tcPr>
            <w:tcW w:w="2910" w:type="dxa"/>
            <w:tcMar>
              <w:top w:w="0" w:type="dxa"/>
              <w:left w:w="108" w:type="dxa"/>
              <w:bottom w:w="0" w:type="dxa"/>
              <w:right w:w="108" w:type="dxa"/>
            </w:tcMar>
          </w:tcPr>
          <w:p w:rsidR="005076F8" w:rsidRPr="00FD1070" w:rsidRDefault="00AA7AC3" w:rsidP="00FD1070">
            <w:pPr>
              <w:jc w:val="center"/>
              <w:rPr>
                <w:rFonts w:ascii="Times New Roman" w:hAnsi="Times New Roman" w:cs="Times New Roman"/>
                <w:sz w:val="20"/>
                <w:szCs w:val="20"/>
              </w:rPr>
            </w:pPr>
            <w:r>
              <w:rPr>
                <w:rFonts w:ascii="Times New Roman" w:hAnsi="Times New Roman" w:cs="Times New Roman"/>
                <w:sz w:val="20"/>
                <w:szCs w:val="20"/>
              </w:rPr>
              <w:t>32 029</w:t>
            </w:r>
          </w:p>
        </w:tc>
      </w:tr>
      <w:tr w:rsidR="005076F8" w:rsidRPr="00FD1070" w:rsidTr="000E17BD">
        <w:trPr>
          <w:trHeight w:val="340"/>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Поточні зобов'язання </w:t>
            </w:r>
          </w:p>
        </w:tc>
        <w:tc>
          <w:tcPr>
            <w:tcW w:w="2745"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97 119</w:t>
            </w:r>
          </w:p>
        </w:tc>
        <w:tc>
          <w:tcPr>
            <w:tcW w:w="2910" w:type="dxa"/>
            <w:tcMar>
              <w:top w:w="0" w:type="dxa"/>
              <w:left w:w="108" w:type="dxa"/>
              <w:bottom w:w="0" w:type="dxa"/>
              <w:right w:w="108" w:type="dxa"/>
            </w:tcMar>
          </w:tcPr>
          <w:p w:rsidR="005076F8" w:rsidRPr="00FD1070" w:rsidRDefault="00AA7AC3" w:rsidP="00FD1070">
            <w:pPr>
              <w:jc w:val="center"/>
              <w:rPr>
                <w:rFonts w:ascii="Times New Roman" w:hAnsi="Times New Roman" w:cs="Times New Roman"/>
                <w:sz w:val="20"/>
                <w:szCs w:val="20"/>
              </w:rPr>
            </w:pPr>
            <w:r>
              <w:rPr>
                <w:rFonts w:ascii="Times New Roman" w:hAnsi="Times New Roman" w:cs="Times New Roman"/>
                <w:sz w:val="20"/>
                <w:szCs w:val="20"/>
              </w:rPr>
              <w:t>57 566</w:t>
            </w:r>
          </w:p>
        </w:tc>
      </w:tr>
      <w:tr w:rsidR="005076F8" w:rsidRPr="00FD1070" w:rsidTr="000E17BD">
        <w:trPr>
          <w:trHeight w:val="340"/>
        </w:trPr>
        <w:tc>
          <w:tcPr>
            <w:tcW w:w="3680" w:type="dxa"/>
            <w:tcMar>
              <w:top w:w="0" w:type="dxa"/>
              <w:left w:w="108" w:type="dxa"/>
              <w:bottom w:w="0" w:type="dxa"/>
              <w:right w:w="108" w:type="dxa"/>
            </w:tcMar>
            <w:hideMark/>
          </w:tcPr>
          <w:p w:rsidR="005076F8" w:rsidRPr="00FD1070" w:rsidRDefault="005076F8" w:rsidP="007663AB">
            <w:pPr>
              <w:spacing w:line="276" w:lineRule="auto"/>
              <w:rPr>
                <w:rFonts w:ascii="Times New Roman" w:hAnsi="Times New Roman" w:cs="Times New Roman"/>
                <w:sz w:val="20"/>
                <w:szCs w:val="20"/>
              </w:rPr>
            </w:pPr>
            <w:r w:rsidRPr="00FD1070">
              <w:rPr>
                <w:rFonts w:ascii="Times New Roman" w:hAnsi="Times New Roman" w:cs="Times New Roman"/>
                <w:sz w:val="20"/>
                <w:szCs w:val="20"/>
              </w:rPr>
              <w:t>Чистий прибуток (збиток) </w:t>
            </w:r>
          </w:p>
        </w:tc>
        <w:tc>
          <w:tcPr>
            <w:tcW w:w="2745" w:type="dxa"/>
            <w:tcMar>
              <w:top w:w="0" w:type="dxa"/>
              <w:left w:w="108" w:type="dxa"/>
              <w:bottom w:w="0" w:type="dxa"/>
              <w:right w:w="108" w:type="dxa"/>
            </w:tcMar>
          </w:tcPr>
          <w:p w:rsidR="005076F8" w:rsidRPr="00FD1070" w:rsidRDefault="00EA1069" w:rsidP="00FD1070">
            <w:pPr>
              <w:jc w:val="center"/>
              <w:rPr>
                <w:rFonts w:ascii="Times New Roman" w:hAnsi="Times New Roman" w:cs="Times New Roman"/>
                <w:sz w:val="20"/>
                <w:szCs w:val="20"/>
              </w:rPr>
            </w:pPr>
            <w:r>
              <w:rPr>
                <w:rFonts w:ascii="Times New Roman" w:hAnsi="Times New Roman" w:cs="Times New Roman"/>
                <w:sz w:val="20"/>
                <w:szCs w:val="20"/>
              </w:rPr>
              <w:t>39 054</w:t>
            </w:r>
          </w:p>
        </w:tc>
        <w:tc>
          <w:tcPr>
            <w:tcW w:w="2910" w:type="dxa"/>
            <w:tcMar>
              <w:top w:w="0" w:type="dxa"/>
              <w:left w:w="108" w:type="dxa"/>
              <w:bottom w:w="0" w:type="dxa"/>
              <w:right w:w="108" w:type="dxa"/>
            </w:tcMar>
          </w:tcPr>
          <w:p w:rsidR="005076F8" w:rsidRPr="00FD1070" w:rsidRDefault="00AA7AC3" w:rsidP="00FD1070">
            <w:pPr>
              <w:jc w:val="center"/>
              <w:rPr>
                <w:rFonts w:ascii="Times New Roman" w:hAnsi="Times New Roman" w:cs="Times New Roman"/>
                <w:sz w:val="20"/>
                <w:szCs w:val="20"/>
              </w:rPr>
            </w:pPr>
            <w:r>
              <w:rPr>
                <w:rFonts w:ascii="Times New Roman" w:hAnsi="Times New Roman" w:cs="Times New Roman"/>
                <w:sz w:val="20"/>
                <w:szCs w:val="20"/>
              </w:rPr>
              <w:t>69 214</w:t>
            </w:r>
          </w:p>
        </w:tc>
      </w:tr>
    </w:tbl>
    <w:p w:rsidR="007D3FE7" w:rsidRDefault="005076F8" w:rsidP="005076F8">
      <w:pPr>
        <w:rPr>
          <w:b/>
          <w:sz w:val="18"/>
          <w:szCs w:val="18"/>
        </w:rPr>
      </w:pPr>
      <w:r>
        <w:rPr>
          <w:b/>
          <w:sz w:val="18"/>
          <w:szCs w:val="18"/>
        </w:rPr>
        <w:t xml:space="preserve">          </w:t>
      </w:r>
    </w:p>
    <w:p w:rsidR="00E63F7B" w:rsidRPr="007D5293" w:rsidRDefault="00E63F7B" w:rsidP="007D5293">
      <w:pPr>
        <w:pStyle w:val="aa"/>
        <w:numPr>
          <w:ilvl w:val="0"/>
          <w:numId w:val="1"/>
        </w:numPr>
        <w:spacing w:before="120"/>
        <w:rPr>
          <w:rFonts w:ascii="Times New Roman" w:hAnsi="Times New Roman" w:cs="Times New Roman"/>
          <w:b/>
          <w:sz w:val="20"/>
          <w:szCs w:val="20"/>
        </w:rPr>
      </w:pPr>
      <w:r w:rsidRPr="007D5293">
        <w:rPr>
          <w:rFonts w:ascii="Times New Roman" w:hAnsi="Times New Roman" w:cs="Times New Roman"/>
          <w:b/>
          <w:sz w:val="20"/>
          <w:szCs w:val="20"/>
        </w:rPr>
        <w:t>ЛІКВІДНІСТЬ ТА ЗОБОВ</w:t>
      </w:r>
      <w:r w:rsidRPr="007D5293">
        <w:rPr>
          <w:rFonts w:ascii="Times New Roman" w:hAnsi="Times New Roman" w:cs="Times New Roman"/>
          <w:b/>
          <w:sz w:val="20"/>
          <w:szCs w:val="20"/>
          <w:lang w:val="en-US"/>
        </w:rPr>
        <w:t>’</w:t>
      </w:r>
      <w:r w:rsidRPr="007D5293">
        <w:rPr>
          <w:rFonts w:ascii="Times New Roman" w:hAnsi="Times New Roman" w:cs="Times New Roman"/>
          <w:b/>
          <w:sz w:val="20"/>
          <w:szCs w:val="20"/>
        </w:rPr>
        <w:t>ЯЗАННЯ</w:t>
      </w:r>
      <w:r w:rsidR="005076F8" w:rsidRPr="007D5293">
        <w:rPr>
          <w:rFonts w:ascii="Times New Roman" w:hAnsi="Times New Roman" w:cs="Times New Roman"/>
          <w:b/>
          <w:sz w:val="20"/>
          <w:szCs w:val="20"/>
        </w:rPr>
        <w:t xml:space="preserve">    </w:t>
      </w:r>
    </w:p>
    <w:p w:rsidR="005076F8" w:rsidRDefault="00A92965" w:rsidP="007D5293">
      <w:pPr>
        <w:spacing w:before="120"/>
        <w:rPr>
          <w:rFonts w:ascii="Times New Roman" w:hAnsi="Times New Roman" w:cs="Times New Roman"/>
          <w:sz w:val="20"/>
          <w:szCs w:val="20"/>
        </w:rPr>
      </w:pPr>
      <w:r w:rsidRPr="007D5293">
        <w:rPr>
          <w:rFonts w:ascii="Times New Roman" w:hAnsi="Times New Roman" w:cs="Times New Roman"/>
          <w:sz w:val="20"/>
          <w:szCs w:val="20"/>
        </w:rPr>
        <w:t>Критерієм</w:t>
      </w:r>
      <w:r w:rsidR="005076F8" w:rsidRPr="007D5293">
        <w:rPr>
          <w:rFonts w:ascii="Times New Roman" w:hAnsi="Times New Roman" w:cs="Times New Roman"/>
          <w:sz w:val="20"/>
          <w:szCs w:val="20"/>
        </w:rPr>
        <w:t xml:space="preserve"> </w:t>
      </w:r>
      <w:r w:rsidRPr="007D5293">
        <w:rPr>
          <w:rFonts w:ascii="Times New Roman" w:hAnsi="Times New Roman" w:cs="Times New Roman"/>
          <w:sz w:val="20"/>
          <w:szCs w:val="20"/>
        </w:rPr>
        <w:t xml:space="preserve"> оцінки фінансового стану підприємства виступає його </w:t>
      </w:r>
      <w:r w:rsidR="006D7AB4" w:rsidRPr="007D5293">
        <w:rPr>
          <w:rFonts w:ascii="Times New Roman" w:hAnsi="Times New Roman" w:cs="Times New Roman"/>
          <w:sz w:val="20"/>
          <w:szCs w:val="20"/>
        </w:rPr>
        <w:t>ліквідність і платоспроможність , до них належать:</w:t>
      </w:r>
    </w:p>
    <w:p w:rsidR="0022285A" w:rsidRDefault="0022285A" w:rsidP="007D5293">
      <w:pPr>
        <w:spacing w:before="120"/>
        <w:rPr>
          <w:rFonts w:ascii="Times New Roman" w:hAnsi="Times New Roman" w:cs="Times New Roman"/>
          <w:sz w:val="20"/>
          <w:szCs w:val="20"/>
        </w:rPr>
      </w:pPr>
    </w:p>
    <w:p w:rsidR="0022285A" w:rsidRPr="007D5293" w:rsidRDefault="0022285A" w:rsidP="007D5293">
      <w:pPr>
        <w:spacing w:before="120"/>
        <w:rPr>
          <w:rFonts w:ascii="Times New Roman" w:hAnsi="Times New Roman" w:cs="Times New Roman"/>
          <w:sz w:val="20"/>
          <w:szCs w:val="20"/>
        </w:rPr>
      </w:pPr>
      <w:r>
        <w:rPr>
          <w:rFonts w:ascii="Times New Roman" w:hAnsi="Times New Roman" w:cs="Times New Roman"/>
          <w:sz w:val="20"/>
          <w:szCs w:val="20"/>
        </w:rPr>
        <w:t xml:space="preserve">                                                                                                                    31 грудня 20</w:t>
      </w:r>
      <w:r w:rsidR="0053179B">
        <w:rPr>
          <w:rFonts w:ascii="Times New Roman" w:hAnsi="Times New Roman" w:cs="Times New Roman"/>
          <w:sz w:val="20"/>
          <w:szCs w:val="20"/>
        </w:rPr>
        <w:t>21</w:t>
      </w:r>
      <w:r w:rsidR="00272106">
        <w:rPr>
          <w:rFonts w:ascii="Times New Roman" w:hAnsi="Times New Roman" w:cs="Times New Roman"/>
          <w:sz w:val="20"/>
          <w:szCs w:val="20"/>
        </w:rPr>
        <w:t xml:space="preserve">                31 гр</w:t>
      </w:r>
      <w:r w:rsidR="00630731">
        <w:rPr>
          <w:rFonts w:ascii="Times New Roman" w:hAnsi="Times New Roman" w:cs="Times New Roman"/>
          <w:sz w:val="20"/>
          <w:szCs w:val="20"/>
        </w:rPr>
        <w:t>удня 2020</w:t>
      </w:r>
    </w:p>
    <w:p w:rsidR="006D7AB4" w:rsidRPr="007D5293" w:rsidRDefault="006D7AB4" w:rsidP="006D7AB4">
      <w:pPr>
        <w:rPr>
          <w:rFonts w:ascii="Times New Roman" w:hAnsi="Times New Roman" w:cs="Times New Roman"/>
          <w:sz w:val="20"/>
          <w:szCs w:val="20"/>
        </w:rPr>
      </w:pPr>
      <w:r w:rsidRPr="007D5293">
        <w:rPr>
          <w:rFonts w:ascii="Times New Roman" w:hAnsi="Times New Roman" w:cs="Times New Roman"/>
          <w:sz w:val="20"/>
          <w:szCs w:val="20"/>
        </w:rPr>
        <w:t>-Коефіцієнт загальної ліквідності (Кое</w:t>
      </w:r>
      <w:r w:rsidR="0022285A">
        <w:rPr>
          <w:rFonts w:ascii="Times New Roman" w:hAnsi="Times New Roman" w:cs="Times New Roman"/>
          <w:sz w:val="20"/>
          <w:szCs w:val="20"/>
        </w:rPr>
        <w:t>фіцієнт покриття</w:t>
      </w:r>
      <w:r w:rsidR="0053179B">
        <w:rPr>
          <w:rFonts w:ascii="Times New Roman" w:hAnsi="Times New Roman" w:cs="Times New Roman"/>
          <w:sz w:val="20"/>
          <w:szCs w:val="20"/>
        </w:rPr>
        <w:t>)                           2,03</w:t>
      </w:r>
      <w:r w:rsidR="000B6A66">
        <w:rPr>
          <w:rFonts w:ascii="Times New Roman" w:hAnsi="Times New Roman" w:cs="Times New Roman"/>
          <w:sz w:val="20"/>
          <w:szCs w:val="20"/>
        </w:rPr>
        <w:t xml:space="preserve"> </w:t>
      </w:r>
      <w:r w:rsidR="00D90B95">
        <w:rPr>
          <w:rFonts w:ascii="Times New Roman" w:hAnsi="Times New Roman" w:cs="Times New Roman"/>
          <w:sz w:val="20"/>
          <w:szCs w:val="20"/>
        </w:rPr>
        <w:t xml:space="preserve">      </w:t>
      </w:r>
      <w:r w:rsidR="00EE3DC3">
        <w:rPr>
          <w:rFonts w:ascii="Times New Roman" w:hAnsi="Times New Roman" w:cs="Times New Roman"/>
          <w:sz w:val="20"/>
          <w:szCs w:val="20"/>
        </w:rPr>
        <w:t xml:space="preserve"> </w:t>
      </w:r>
      <w:r w:rsidR="00630731">
        <w:rPr>
          <w:rFonts w:ascii="Times New Roman" w:hAnsi="Times New Roman" w:cs="Times New Roman"/>
          <w:sz w:val="20"/>
          <w:szCs w:val="20"/>
        </w:rPr>
        <w:t xml:space="preserve">                            2,87</w:t>
      </w:r>
    </w:p>
    <w:p w:rsidR="006D7AB4" w:rsidRPr="007D5293" w:rsidRDefault="006D7AB4" w:rsidP="006D7AB4">
      <w:pPr>
        <w:rPr>
          <w:rFonts w:ascii="Times New Roman" w:hAnsi="Times New Roman" w:cs="Times New Roman"/>
          <w:sz w:val="20"/>
          <w:szCs w:val="20"/>
        </w:rPr>
      </w:pPr>
      <w:r w:rsidRPr="007D5293">
        <w:rPr>
          <w:rFonts w:ascii="Times New Roman" w:hAnsi="Times New Roman" w:cs="Times New Roman"/>
          <w:sz w:val="20"/>
          <w:szCs w:val="20"/>
        </w:rPr>
        <w:t>-Коефіцієнт поточної ліквідності (Коефіцієн</w:t>
      </w:r>
      <w:r w:rsidR="0022285A">
        <w:rPr>
          <w:rFonts w:ascii="Times New Roman" w:hAnsi="Times New Roman" w:cs="Times New Roman"/>
          <w:sz w:val="20"/>
          <w:szCs w:val="20"/>
        </w:rPr>
        <w:t xml:space="preserve">т швидкої ліквідності)        </w:t>
      </w:r>
      <w:r w:rsidR="0053179B">
        <w:rPr>
          <w:rFonts w:ascii="Times New Roman" w:hAnsi="Times New Roman" w:cs="Times New Roman"/>
          <w:sz w:val="20"/>
          <w:szCs w:val="20"/>
        </w:rPr>
        <w:t xml:space="preserve"> 1,26</w:t>
      </w:r>
      <w:r w:rsidR="000B6A66">
        <w:rPr>
          <w:rFonts w:ascii="Times New Roman" w:hAnsi="Times New Roman" w:cs="Times New Roman"/>
          <w:sz w:val="20"/>
          <w:szCs w:val="20"/>
        </w:rPr>
        <w:t xml:space="preserve"> </w:t>
      </w:r>
      <w:r w:rsidR="00D90B95">
        <w:rPr>
          <w:rFonts w:ascii="Times New Roman" w:hAnsi="Times New Roman" w:cs="Times New Roman"/>
          <w:sz w:val="20"/>
          <w:szCs w:val="20"/>
        </w:rPr>
        <w:t xml:space="preserve">       </w:t>
      </w:r>
      <w:r w:rsidR="00630731">
        <w:rPr>
          <w:rFonts w:ascii="Times New Roman" w:hAnsi="Times New Roman" w:cs="Times New Roman"/>
          <w:sz w:val="20"/>
          <w:szCs w:val="20"/>
        </w:rPr>
        <w:t xml:space="preserve">                            1,87</w:t>
      </w:r>
    </w:p>
    <w:p w:rsidR="006D7AB4" w:rsidRPr="007D5293" w:rsidRDefault="006D7AB4" w:rsidP="006D7AB4">
      <w:pPr>
        <w:rPr>
          <w:rFonts w:ascii="Times New Roman" w:hAnsi="Times New Roman" w:cs="Times New Roman"/>
          <w:sz w:val="20"/>
          <w:szCs w:val="20"/>
        </w:rPr>
      </w:pPr>
      <w:r w:rsidRPr="007D5293">
        <w:rPr>
          <w:rFonts w:ascii="Times New Roman" w:hAnsi="Times New Roman" w:cs="Times New Roman"/>
          <w:sz w:val="20"/>
          <w:szCs w:val="20"/>
        </w:rPr>
        <w:t xml:space="preserve">-Коефіцієнт </w:t>
      </w:r>
      <w:r w:rsidR="0022285A">
        <w:rPr>
          <w:rFonts w:ascii="Times New Roman" w:hAnsi="Times New Roman" w:cs="Times New Roman"/>
          <w:sz w:val="20"/>
          <w:szCs w:val="20"/>
        </w:rPr>
        <w:t xml:space="preserve">абсолютної ліквідності                                                                </w:t>
      </w:r>
      <w:r w:rsidRPr="007D5293">
        <w:rPr>
          <w:rFonts w:ascii="Times New Roman" w:hAnsi="Times New Roman" w:cs="Times New Roman"/>
          <w:sz w:val="20"/>
          <w:szCs w:val="20"/>
        </w:rPr>
        <w:t xml:space="preserve"> 0</w:t>
      </w:r>
      <w:r w:rsidR="00635221">
        <w:rPr>
          <w:rFonts w:ascii="Times New Roman" w:hAnsi="Times New Roman" w:cs="Times New Roman"/>
          <w:sz w:val="20"/>
          <w:szCs w:val="20"/>
        </w:rPr>
        <w:t xml:space="preserve">                                         0</w:t>
      </w:r>
    </w:p>
    <w:p w:rsidR="006415C4" w:rsidRPr="007D5293" w:rsidRDefault="006415C4" w:rsidP="006D7AB4">
      <w:pPr>
        <w:rPr>
          <w:rFonts w:ascii="Times New Roman" w:hAnsi="Times New Roman" w:cs="Times New Roman"/>
          <w:sz w:val="20"/>
          <w:szCs w:val="20"/>
        </w:rPr>
      </w:pPr>
      <w:r w:rsidRPr="007D5293">
        <w:rPr>
          <w:rFonts w:ascii="Times New Roman" w:hAnsi="Times New Roman" w:cs="Times New Roman"/>
          <w:sz w:val="20"/>
          <w:szCs w:val="20"/>
        </w:rPr>
        <w:t>-Чи</w:t>
      </w:r>
      <w:r w:rsidR="0022285A">
        <w:rPr>
          <w:rFonts w:ascii="Times New Roman" w:hAnsi="Times New Roman" w:cs="Times New Roman"/>
          <w:sz w:val="20"/>
          <w:szCs w:val="20"/>
        </w:rPr>
        <w:t xml:space="preserve">стий оборотний капітал                                                                           </w:t>
      </w:r>
      <w:r w:rsidR="00B243E8">
        <w:rPr>
          <w:rFonts w:ascii="Times New Roman" w:hAnsi="Times New Roman" w:cs="Times New Roman"/>
          <w:sz w:val="20"/>
          <w:szCs w:val="20"/>
        </w:rPr>
        <w:t xml:space="preserve"> 100281</w:t>
      </w:r>
      <w:r w:rsidR="00635221">
        <w:rPr>
          <w:rFonts w:ascii="Times New Roman" w:hAnsi="Times New Roman" w:cs="Times New Roman"/>
          <w:sz w:val="20"/>
          <w:szCs w:val="20"/>
        </w:rPr>
        <w:t xml:space="preserve">    </w:t>
      </w:r>
      <w:r w:rsidR="00272106">
        <w:rPr>
          <w:rFonts w:ascii="Times New Roman" w:hAnsi="Times New Roman" w:cs="Times New Roman"/>
          <w:sz w:val="20"/>
          <w:szCs w:val="20"/>
        </w:rPr>
        <w:t xml:space="preserve">  </w:t>
      </w:r>
      <w:r w:rsidR="00630731">
        <w:rPr>
          <w:rFonts w:ascii="Times New Roman" w:hAnsi="Times New Roman" w:cs="Times New Roman"/>
          <w:sz w:val="20"/>
          <w:szCs w:val="20"/>
        </w:rPr>
        <w:t xml:space="preserve">                         107911</w:t>
      </w:r>
    </w:p>
    <w:p w:rsidR="004C3014" w:rsidRPr="004C3014" w:rsidRDefault="004C3014" w:rsidP="004C3014">
      <w:pPr>
        <w:pStyle w:val="aa"/>
        <w:spacing w:before="120" w:line="276" w:lineRule="auto"/>
        <w:ind w:left="360"/>
        <w:jc w:val="both"/>
        <w:rPr>
          <w:rFonts w:ascii="Times New Roman" w:hAnsi="Times New Roman" w:cs="Times New Roman"/>
          <w:b/>
          <w:sz w:val="20"/>
          <w:szCs w:val="20"/>
        </w:rPr>
      </w:pPr>
    </w:p>
    <w:p w:rsidR="004D1BFC" w:rsidRPr="00901D22" w:rsidRDefault="00DD3CE4" w:rsidP="00DD3CE4">
      <w:pPr>
        <w:pStyle w:val="41"/>
        <w:tabs>
          <w:tab w:val="left" w:pos="284"/>
        </w:tabs>
        <w:spacing w:line="276" w:lineRule="auto"/>
        <w:outlineLvl w:val="1"/>
        <w:rPr>
          <w:rFonts w:ascii="Times New Roman" w:hAnsi="Times New Roman" w:cs="Times New Roman"/>
          <w:lang w:val="uk-UA" w:eastAsia="uk-UA"/>
        </w:rPr>
      </w:pPr>
      <w:r>
        <w:rPr>
          <w:rFonts w:ascii="Times New Roman" w:hAnsi="Times New Roman" w:cs="Times New Roman"/>
          <w:lang w:val="uk-UA" w:eastAsia="uk-UA"/>
        </w:rPr>
        <w:t>4.</w:t>
      </w:r>
      <w:r w:rsidR="004D1BFC" w:rsidRPr="00901D22">
        <w:rPr>
          <w:rFonts w:ascii="Times New Roman" w:hAnsi="Times New Roman" w:cs="Times New Roman"/>
          <w:lang w:val="uk-UA" w:eastAsia="uk-UA"/>
        </w:rPr>
        <w:t xml:space="preserve"> РИЗИКИ ТА ЕКОНОМІЧНА СИТУАЦІЯ</w:t>
      </w:r>
    </w:p>
    <w:p w:rsidR="004D1BFC" w:rsidRPr="008508A3" w:rsidRDefault="004D1BFC" w:rsidP="004D1BFC">
      <w:pPr>
        <w:pStyle w:val="a3"/>
        <w:spacing w:before="120" w:line="276" w:lineRule="auto"/>
        <w:ind w:right="-1"/>
        <w:jc w:val="both"/>
        <w:rPr>
          <w:rFonts w:ascii="Times New Roman" w:hAnsi="Times New Roman" w:cs="Times New Roman"/>
          <w:lang w:eastAsia="uk-UA"/>
        </w:rPr>
      </w:pPr>
      <w:r w:rsidRPr="008508A3">
        <w:rPr>
          <w:rFonts w:ascii="Times New Roman" w:hAnsi="Times New Roman" w:cs="Times New Roman"/>
          <w:bCs/>
          <w:i/>
          <w:iCs/>
          <w:lang w:eastAsia="uk-UA"/>
        </w:rPr>
        <w:t>Політична та економічна кризи</w:t>
      </w:r>
      <w:r w:rsidR="009B3D35">
        <w:rPr>
          <w:rFonts w:ascii="Times New Roman" w:hAnsi="Times New Roman" w:cs="Times New Roman"/>
          <w:lang w:eastAsia="uk-UA"/>
        </w:rPr>
        <w:t xml:space="preserve"> - У 2021</w:t>
      </w:r>
      <w:r w:rsidRPr="008508A3">
        <w:rPr>
          <w:rFonts w:ascii="Times New Roman" w:hAnsi="Times New Roman" w:cs="Times New Roman"/>
          <w:lang w:eastAsia="uk-UA"/>
        </w:rPr>
        <w:t xml:space="preserve"> році в економічному та політичному середовищі України ще був значно відчутний вплив подій 2014 року. Крим, автономна республіка у складі України, залишається  </w:t>
      </w:r>
      <w:r w:rsidRPr="008508A3">
        <w:rPr>
          <w:rFonts w:ascii="Times New Roman" w:hAnsi="Times New Roman" w:cs="Times New Roman"/>
          <w:lang w:eastAsia="uk-UA"/>
        </w:rPr>
        <w:lastRenderedPageBreak/>
        <w:t xml:space="preserve">анексованим  Російською    Федерацією. Частина східних територій України є  непідконтрольними органам центральної виконавчої влади. </w:t>
      </w:r>
    </w:p>
    <w:p w:rsidR="004D1BFC" w:rsidRPr="008508A3" w:rsidRDefault="004D1BFC" w:rsidP="004D1BFC">
      <w:pPr>
        <w:pStyle w:val="a3"/>
        <w:spacing w:before="120" w:line="276" w:lineRule="auto"/>
        <w:jc w:val="both"/>
        <w:rPr>
          <w:rFonts w:ascii="Times New Roman" w:hAnsi="Times New Roman" w:cs="Times New Roman"/>
        </w:rPr>
      </w:pPr>
      <w:r w:rsidRPr="008508A3">
        <w:rPr>
          <w:rFonts w:ascii="Times New Roman" w:hAnsi="Times New Roman" w:cs="Times New Roman"/>
        </w:rPr>
        <w:t>Курс української гривні щодо основних світових валют продовжує залишатися нестабільним. Національний банк України запровадив низку стабілізаційних заходів, направлених на обмеження відтоку депозитів клієнтів із банківської системи України, покращення  ліквідності банків та стабілізації курсу обміну гривні до основних іноземних валют.</w:t>
      </w:r>
    </w:p>
    <w:p w:rsidR="004D1BFC" w:rsidRPr="008508A3" w:rsidRDefault="004D1BFC" w:rsidP="004D1BFC">
      <w:pPr>
        <w:pStyle w:val="a3"/>
        <w:spacing w:before="120" w:line="276" w:lineRule="auto"/>
        <w:jc w:val="both"/>
        <w:rPr>
          <w:rFonts w:ascii="Times New Roman" w:hAnsi="Times New Roman" w:cs="Times New Roman"/>
        </w:rPr>
      </w:pPr>
      <w:r w:rsidRPr="008508A3">
        <w:rPr>
          <w:rFonts w:ascii="Times New Roman" w:hAnsi="Times New Roman" w:cs="Times New Roman"/>
        </w:rPr>
        <w:t>Для підтримання економіки країни необхідне істотне зовнішнє фінансування. Стабілізація економічної та політичної ситуації залежить, великою мірою, від успіху зусиль українського уряду, при цьому подальший розвиток економічної та політичної ситуації на разі неможливо передбачити.</w:t>
      </w:r>
    </w:p>
    <w:p w:rsidR="004D1BFC" w:rsidRDefault="004D1BFC" w:rsidP="004D1BFC">
      <w:pPr>
        <w:pStyle w:val="a3"/>
        <w:spacing w:before="120" w:line="276" w:lineRule="auto"/>
        <w:ind w:right="-1"/>
        <w:jc w:val="both"/>
        <w:rPr>
          <w:rFonts w:ascii="Times New Roman" w:hAnsi="Times New Roman" w:cs="Times New Roman"/>
          <w:lang w:eastAsia="uk-UA"/>
        </w:rPr>
      </w:pPr>
      <w:r w:rsidRPr="008508A3">
        <w:rPr>
          <w:rFonts w:ascii="Times New Roman" w:hAnsi="Times New Roman" w:cs="Times New Roman"/>
          <w:lang w:eastAsia="uk-UA"/>
        </w:rPr>
        <w:t xml:space="preserve">Керівництво вважає, що воно вживає всіх необхідних заходів для підтримання економічної стабільності </w:t>
      </w:r>
      <w:r w:rsidR="0022285A" w:rsidRPr="00462D05">
        <w:rPr>
          <w:rFonts w:ascii="Times New Roman" w:hAnsi="Times New Roman" w:cs="Times New Roman"/>
          <w:lang w:eastAsia="uk-UA"/>
        </w:rPr>
        <w:t>підприємства</w:t>
      </w:r>
      <w:r w:rsidR="003C1D78">
        <w:rPr>
          <w:rFonts w:ascii="Times New Roman" w:hAnsi="Times New Roman" w:cs="Times New Roman"/>
          <w:lang w:eastAsia="uk-UA"/>
        </w:rPr>
        <w:t xml:space="preserve"> </w:t>
      </w:r>
      <w:r w:rsidRPr="008508A3">
        <w:rPr>
          <w:rFonts w:ascii="Times New Roman" w:hAnsi="Times New Roman" w:cs="Times New Roman"/>
          <w:lang w:eastAsia="uk-UA"/>
        </w:rPr>
        <w:t xml:space="preserve">в умовах, які склалися. Однак подальше погіршення ситуації у зазначених вище сферах може мати негативний вплив на результати діяльності і фінансовий стан </w:t>
      </w:r>
      <w:r w:rsidR="0022285A" w:rsidRPr="00462D05">
        <w:rPr>
          <w:rFonts w:ascii="Times New Roman" w:hAnsi="Times New Roman" w:cs="Times New Roman"/>
          <w:lang w:eastAsia="uk-UA"/>
        </w:rPr>
        <w:t>підприємства</w:t>
      </w:r>
      <w:r w:rsidRPr="00462D05">
        <w:rPr>
          <w:rFonts w:ascii="Times New Roman" w:hAnsi="Times New Roman" w:cs="Times New Roman"/>
          <w:lang w:eastAsia="uk-UA"/>
        </w:rPr>
        <w:t>.</w:t>
      </w:r>
      <w:r w:rsidRPr="008508A3">
        <w:rPr>
          <w:rFonts w:ascii="Times New Roman" w:hAnsi="Times New Roman" w:cs="Times New Roman"/>
          <w:lang w:eastAsia="uk-UA"/>
        </w:rPr>
        <w:t xml:space="preserve"> На даний момент неможливо визначити, яким саме може бути цей вплив</w:t>
      </w:r>
      <w:r>
        <w:rPr>
          <w:rFonts w:ascii="Times New Roman" w:hAnsi="Times New Roman" w:cs="Times New Roman"/>
          <w:lang w:eastAsia="uk-UA"/>
        </w:rPr>
        <w:t>.</w:t>
      </w:r>
    </w:p>
    <w:p w:rsidR="00D24980" w:rsidRDefault="00D24980" w:rsidP="00D24980">
      <w:pPr>
        <w:spacing w:before="120" w:line="276" w:lineRule="auto"/>
        <w:jc w:val="both"/>
        <w:rPr>
          <w:rFonts w:ascii="Times New Roman" w:hAnsi="Times New Roman" w:cs="Times New Roman"/>
          <w:sz w:val="20"/>
          <w:szCs w:val="20"/>
        </w:rPr>
      </w:pPr>
      <w:r w:rsidRPr="00901D22">
        <w:rPr>
          <w:rFonts w:ascii="Times New Roman" w:hAnsi="Times New Roman" w:cs="Times New Roman"/>
          <w:sz w:val="20"/>
          <w:szCs w:val="20"/>
        </w:rPr>
        <w:t>Основні фінансові інструменти</w:t>
      </w:r>
      <w:r w:rsidR="003C1D78" w:rsidRPr="003C1D78">
        <w:rPr>
          <w:rFonts w:ascii="Times New Roman" w:hAnsi="Times New Roman" w:cs="Times New Roman"/>
        </w:rPr>
        <w:t xml:space="preserve"> </w:t>
      </w:r>
      <w:r w:rsidR="006415C4">
        <w:rPr>
          <w:rFonts w:ascii="Times New Roman" w:hAnsi="Times New Roman" w:cs="Times New Roman"/>
          <w:sz w:val="20"/>
          <w:szCs w:val="20"/>
        </w:rPr>
        <w:t>підприємства</w:t>
      </w:r>
      <w:r w:rsidRPr="003C1D78">
        <w:rPr>
          <w:rFonts w:ascii="Times New Roman" w:hAnsi="Times New Roman" w:cs="Times New Roman"/>
          <w:sz w:val="20"/>
          <w:szCs w:val="20"/>
        </w:rPr>
        <w:t xml:space="preserve"> </w:t>
      </w:r>
      <w:r w:rsidRPr="00901D22">
        <w:rPr>
          <w:rFonts w:ascii="Times New Roman" w:hAnsi="Times New Roman" w:cs="Times New Roman"/>
          <w:sz w:val="20"/>
          <w:szCs w:val="20"/>
        </w:rPr>
        <w:t>включають позики, грошові кошти та їх еквіваленти, а також торгову та іншу дебіторську і кредиторську заборгованість.</w:t>
      </w:r>
    </w:p>
    <w:p w:rsidR="008F5D13" w:rsidRPr="00901D22" w:rsidRDefault="008F5D13" w:rsidP="008F5D13">
      <w:pPr>
        <w:spacing w:before="120" w:line="276" w:lineRule="auto"/>
        <w:jc w:val="both"/>
        <w:rPr>
          <w:rFonts w:ascii="Times New Roman" w:hAnsi="Times New Roman" w:cs="Times New Roman"/>
          <w:sz w:val="20"/>
          <w:szCs w:val="20"/>
        </w:rPr>
      </w:pPr>
      <w:r w:rsidRPr="00901D22">
        <w:rPr>
          <w:rFonts w:ascii="Times New Roman" w:hAnsi="Times New Roman" w:cs="Times New Roman"/>
          <w:b/>
          <w:sz w:val="20"/>
          <w:szCs w:val="20"/>
        </w:rPr>
        <w:t>Управління капіталом</w:t>
      </w:r>
      <w:r w:rsidRPr="00901D22">
        <w:rPr>
          <w:rFonts w:ascii="Times New Roman" w:hAnsi="Times New Roman" w:cs="Times New Roman"/>
          <w:sz w:val="20"/>
          <w:szCs w:val="20"/>
        </w:rPr>
        <w:t xml:space="preserve"> - </w:t>
      </w:r>
      <w:r>
        <w:rPr>
          <w:rFonts w:ascii="Times New Roman" w:hAnsi="Times New Roman" w:cs="Times New Roman"/>
          <w:sz w:val="20"/>
          <w:szCs w:val="20"/>
        </w:rPr>
        <w:t>Підприємство</w:t>
      </w:r>
      <w:r w:rsidRPr="00901D22">
        <w:rPr>
          <w:rFonts w:ascii="Times New Roman" w:hAnsi="Times New Roman" w:cs="Times New Roman"/>
          <w:sz w:val="20"/>
          <w:szCs w:val="20"/>
        </w:rPr>
        <w:t xml:space="preserve"> вважає боргові інструменти і власний капітал основними джерелами фінансування. У питаннях управління капіталом цілями </w:t>
      </w:r>
      <w:r>
        <w:rPr>
          <w:rFonts w:ascii="Times New Roman" w:hAnsi="Times New Roman" w:cs="Times New Roman"/>
          <w:sz w:val="20"/>
          <w:szCs w:val="20"/>
        </w:rPr>
        <w:t>підприємства</w:t>
      </w:r>
      <w:r w:rsidRPr="00901D22">
        <w:rPr>
          <w:rFonts w:ascii="Times New Roman" w:hAnsi="Times New Roman" w:cs="Times New Roman"/>
          <w:sz w:val="20"/>
          <w:szCs w:val="20"/>
        </w:rPr>
        <w:t xml:space="preserve"> є забезпечення прибутку акціонерам та вигід для інших зацікавлених сторін, а також забезпечен</w:t>
      </w:r>
      <w:r>
        <w:rPr>
          <w:rFonts w:ascii="Times New Roman" w:hAnsi="Times New Roman" w:cs="Times New Roman"/>
          <w:sz w:val="20"/>
          <w:szCs w:val="20"/>
        </w:rPr>
        <w:t xml:space="preserve">ня фінансування діяльності </w:t>
      </w:r>
      <w:r w:rsidRPr="00901D22">
        <w:rPr>
          <w:rFonts w:ascii="Times New Roman" w:hAnsi="Times New Roman" w:cs="Times New Roman"/>
          <w:sz w:val="20"/>
          <w:szCs w:val="20"/>
        </w:rPr>
        <w:t>. Пол</w:t>
      </w:r>
      <w:r>
        <w:rPr>
          <w:rFonts w:ascii="Times New Roman" w:hAnsi="Times New Roman" w:cs="Times New Roman"/>
          <w:sz w:val="20"/>
          <w:szCs w:val="20"/>
        </w:rPr>
        <w:t>ітика управління капіталом підприємства</w:t>
      </w:r>
      <w:r w:rsidRPr="00901D22">
        <w:rPr>
          <w:rFonts w:ascii="Times New Roman" w:hAnsi="Times New Roman" w:cs="Times New Roman"/>
          <w:sz w:val="20"/>
          <w:szCs w:val="20"/>
        </w:rPr>
        <w:t xml:space="preserve"> направлена на забезпечення і підтримання оптимальної структури капіталу для скорочення загальних витрат на капітал, які виникають, та гнучкості у питаннях доступу </w:t>
      </w:r>
      <w:r>
        <w:rPr>
          <w:rFonts w:ascii="Times New Roman" w:hAnsi="Times New Roman" w:cs="Times New Roman"/>
          <w:sz w:val="20"/>
          <w:szCs w:val="20"/>
        </w:rPr>
        <w:t>підприємства</w:t>
      </w:r>
      <w:r w:rsidRPr="00901D22">
        <w:rPr>
          <w:rFonts w:ascii="Times New Roman" w:hAnsi="Times New Roman" w:cs="Times New Roman"/>
          <w:sz w:val="20"/>
          <w:szCs w:val="20"/>
        </w:rPr>
        <w:t xml:space="preserve"> до ринків капіталу.</w:t>
      </w:r>
    </w:p>
    <w:p w:rsidR="008F5D13" w:rsidRPr="00901D22" w:rsidRDefault="008F5D13" w:rsidP="008F5D13">
      <w:pPr>
        <w:spacing w:line="276" w:lineRule="auto"/>
        <w:ind w:right="-1"/>
        <w:rPr>
          <w:rFonts w:ascii="Times New Roman" w:hAnsi="Times New Roman" w:cs="Times New Roman"/>
          <w:sz w:val="20"/>
          <w:szCs w:val="20"/>
        </w:rPr>
      </w:pPr>
    </w:p>
    <w:tbl>
      <w:tblPr>
        <w:tblW w:w="9214" w:type="dxa"/>
        <w:tblLayout w:type="fixed"/>
        <w:tblCellMar>
          <w:left w:w="0" w:type="dxa"/>
          <w:right w:w="0" w:type="dxa"/>
        </w:tblCellMar>
        <w:tblLook w:val="0000" w:firstRow="0" w:lastRow="0" w:firstColumn="0" w:lastColumn="0" w:noHBand="0" w:noVBand="0"/>
      </w:tblPr>
      <w:tblGrid>
        <w:gridCol w:w="6096"/>
        <w:gridCol w:w="1559"/>
        <w:gridCol w:w="1559"/>
      </w:tblGrid>
      <w:tr w:rsidR="008F5D13" w:rsidRPr="00901D22" w:rsidTr="00651D15">
        <w:trPr>
          <w:trHeight w:val="77"/>
        </w:trPr>
        <w:tc>
          <w:tcPr>
            <w:tcW w:w="6096" w:type="dxa"/>
            <w:shd w:val="clear" w:color="auto" w:fill="FFFFFF"/>
          </w:tcPr>
          <w:p w:rsidR="008F5D13" w:rsidRPr="00901D22" w:rsidRDefault="008F5D13" w:rsidP="00651D15">
            <w:pPr>
              <w:pStyle w:val="111"/>
              <w:shd w:val="clear" w:color="auto" w:fill="auto"/>
              <w:spacing w:line="206" w:lineRule="exact"/>
              <w:ind w:left="74" w:right="165" w:firstLine="74"/>
              <w:rPr>
                <w:rFonts w:ascii="Times New Roman" w:hAnsi="Times New Roman" w:cs="Times New Roman"/>
                <w:b/>
                <w:sz w:val="20"/>
                <w:szCs w:val="20"/>
                <w:lang w:val="uk-UA" w:eastAsia="uk-UA"/>
              </w:rPr>
            </w:pPr>
          </w:p>
        </w:tc>
        <w:tc>
          <w:tcPr>
            <w:tcW w:w="1559" w:type="dxa"/>
            <w:tcBorders>
              <w:bottom w:val="single" w:sz="4" w:space="0" w:color="auto"/>
            </w:tcBorders>
            <w:shd w:val="clear" w:color="auto" w:fill="FFFFFF"/>
          </w:tcPr>
          <w:p w:rsidR="008F5D13" w:rsidRPr="00901D22" w:rsidRDefault="008F5D13" w:rsidP="00651D15">
            <w:pPr>
              <w:pStyle w:val="191"/>
              <w:shd w:val="clear" w:color="auto" w:fill="auto"/>
              <w:spacing w:line="206" w:lineRule="exact"/>
              <w:ind w:left="57" w:right="57"/>
              <w:jc w:val="right"/>
              <w:rPr>
                <w:rFonts w:ascii="Times New Roman" w:hAnsi="Times New Roman" w:cs="Times New Roman"/>
                <w:b/>
                <w:sz w:val="20"/>
                <w:szCs w:val="20"/>
                <w:lang w:val="uk-UA"/>
              </w:rPr>
            </w:pPr>
            <w:r w:rsidRPr="00901D22">
              <w:rPr>
                <w:rFonts w:ascii="Times New Roman" w:hAnsi="Times New Roman" w:cs="Times New Roman"/>
                <w:b/>
                <w:sz w:val="20"/>
                <w:szCs w:val="20"/>
                <w:lang w:val="uk-UA"/>
              </w:rPr>
              <w:t>31 грудн</w:t>
            </w:r>
            <w:r w:rsidR="005C6DA7">
              <w:rPr>
                <w:rFonts w:ascii="Times New Roman" w:hAnsi="Times New Roman" w:cs="Times New Roman"/>
                <w:b/>
                <w:sz w:val="20"/>
                <w:szCs w:val="20"/>
                <w:lang w:val="uk-UA"/>
              </w:rPr>
              <w:t>я 2021</w:t>
            </w:r>
          </w:p>
        </w:tc>
        <w:tc>
          <w:tcPr>
            <w:tcW w:w="1559" w:type="dxa"/>
            <w:tcBorders>
              <w:bottom w:val="single" w:sz="4" w:space="0" w:color="auto"/>
            </w:tcBorders>
            <w:shd w:val="clear" w:color="auto" w:fill="FFFFFF"/>
          </w:tcPr>
          <w:p w:rsidR="008F5D13" w:rsidRPr="00901D22" w:rsidRDefault="009B3D35" w:rsidP="00651D15">
            <w:pPr>
              <w:pStyle w:val="191"/>
              <w:shd w:val="clear" w:color="auto" w:fill="auto"/>
              <w:spacing w:line="206" w:lineRule="exact"/>
              <w:ind w:left="57" w:right="57"/>
              <w:jc w:val="right"/>
              <w:rPr>
                <w:rFonts w:ascii="Times New Roman" w:hAnsi="Times New Roman" w:cs="Times New Roman"/>
                <w:b/>
                <w:sz w:val="20"/>
                <w:szCs w:val="20"/>
                <w:lang w:val="uk-UA"/>
              </w:rPr>
            </w:pPr>
            <w:r>
              <w:rPr>
                <w:rFonts w:ascii="Times New Roman" w:hAnsi="Times New Roman" w:cs="Times New Roman"/>
                <w:b/>
                <w:sz w:val="20"/>
                <w:szCs w:val="20"/>
                <w:lang w:val="uk-UA"/>
              </w:rPr>
              <w:t>31 грудня 2020</w:t>
            </w:r>
          </w:p>
        </w:tc>
      </w:tr>
      <w:tr w:rsidR="008F5D13" w:rsidRPr="00901D22" w:rsidTr="00651D15">
        <w:trPr>
          <w:trHeight w:val="77"/>
        </w:trPr>
        <w:tc>
          <w:tcPr>
            <w:tcW w:w="6096" w:type="dxa"/>
            <w:shd w:val="clear" w:color="auto" w:fill="FFFFFF"/>
          </w:tcPr>
          <w:p w:rsidR="008F5D13" w:rsidRPr="00901D22" w:rsidRDefault="008F5D13" w:rsidP="00651D15">
            <w:pPr>
              <w:pStyle w:val="111"/>
              <w:shd w:val="clear" w:color="auto" w:fill="auto"/>
              <w:spacing w:line="206" w:lineRule="exact"/>
              <w:ind w:left="142" w:right="165"/>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Торгова </w:t>
            </w:r>
            <w:r w:rsidRPr="00901D22">
              <w:rPr>
                <w:rFonts w:ascii="Times New Roman" w:hAnsi="Times New Roman" w:cs="Times New Roman"/>
                <w:sz w:val="20"/>
                <w:szCs w:val="20"/>
                <w:lang w:val="uk-UA" w:eastAsia="uk-UA"/>
              </w:rPr>
              <w:t xml:space="preserve"> кре</w:t>
            </w:r>
            <w:r>
              <w:rPr>
                <w:rFonts w:ascii="Times New Roman" w:hAnsi="Times New Roman" w:cs="Times New Roman"/>
                <w:sz w:val="20"/>
                <w:szCs w:val="20"/>
                <w:lang w:val="uk-UA" w:eastAsia="uk-UA"/>
              </w:rPr>
              <w:t xml:space="preserve">диторська заборгованість </w:t>
            </w:r>
          </w:p>
        </w:tc>
        <w:tc>
          <w:tcPr>
            <w:tcW w:w="1559" w:type="dxa"/>
            <w:tcBorders>
              <w:top w:val="single" w:sz="4" w:space="0" w:color="auto"/>
            </w:tcBorders>
            <w:shd w:val="clear" w:color="auto" w:fill="FFFFFF"/>
          </w:tcPr>
          <w:p w:rsidR="008F5D13" w:rsidRPr="00901D22" w:rsidRDefault="00F66DC4" w:rsidP="00651D15">
            <w:pPr>
              <w:pStyle w:val="191"/>
              <w:shd w:val="clear" w:color="auto" w:fill="auto"/>
              <w:spacing w:line="206" w:lineRule="exact"/>
              <w:ind w:left="57" w:right="57"/>
              <w:jc w:val="right"/>
              <w:rPr>
                <w:rFonts w:ascii="Times New Roman" w:hAnsi="Times New Roman" w:cs="Times New Roman"/>
                <w:sz w:val="20"/>
                <w:szCs w:val="20"/>
                <w:lang w:val="uk-UA"/>
              </w:rPr>
            </w:pPr>
            <w:r>
              <w:rPr>
                <w:rFonts w:ascii="Times New Roman" w:hAnsi="Times New Roman" w:cs="Times New Roman"/>
                <w:sz w:val="20"/>
                <w:szCs w:val="20"/>
                <w:lang w:val="uk-UA"/>
              </w:rPr>
              <w:t>19 008</w:t>
            </w:r>
          </w:p>
        </w:tc>
        <w:tc>
          <w:tcPr>
            <w:tcW w:w="1559" w:type="dxa"/>
            <w:tcBorders>
              <w:top w:val="single" w:sz="4" w:space="0" w:color="auto"/>
            </w:tcBorders>
            <w:shd w:val="clear" w:color="auto" w:fill="FFFFFF"/>
          </w:tcPr>
          <w:p w:rsidR="008F5D13" w:rsidRPr="00901D22" w:rsidRDefault="009B3D35" w:rsidP="00651D15">
            <w:pPr>
              <w:pStyle w:val="191"/>
              <w:shd w:val="clear" w:color="auto" w:fill="auto"/>
              <w:spacing w:line="206" w:lineRule="exact"/>
              <w:ind w:left="57" w:right="57"/>
              <w:jc w:val="right"/>
              <w:rPr>
                <w:rFonts w:ascii="Times New Roman" w:hAnsi="Times New Roman" w:cs="Times New Roman"/>
                <w:sz w:val="20"/>
                <w:szCs w:val="20"/>
                <w:lang w:val="uk-UA"/>
              </w:rPr>
            </w:pPr>
            <w:r>
              <w:rPr>
                <w:rFonts w:ascii="Times New Roman" w:hAnsi="Times New Roman" w:cs="Times New Roman"/>
                <w:sz w:val="20"/>
                <w:szCs w:val="20"/>
                <w:lang w:val="uk-UA"/>
              </w:rPr>
              <w:t>18 663</w:t>
            </w:r>
          </w:p>
        </w:tc>
      </w:tr>
      <w:tr w:rsidR="008F5D13" w:rsidRPr="00901D22" w:rsidTr="00651D15">
        <w:trPr>
          <w:trHeight w:val="77"/>
        </w:trPr>
        <w:tc>
          <w:tcPr>
            <w:tcW w:w="6096" w:type="dxa"/>
            <w:shd w:val="clear" w:color="auto" w:fill="FFFFFF"/>
          </w:tcPr>
          <w:p w:rsidR="008F5D13" w:rsidRPr="00901D22" w:rsidRDefault="008F5D13" w:rsidP="00651D15">
            <w:pPr>
              <w:pStyle w:val="111"/>
              <w:shd w:val="clear" w:color="auto" w:fill="auto"/>
              <w:spacing w:line="206" w:lineRule="exact"/>
              <w:ind w:left="142" w:right="165"/>
              <w:rPr>
                <w:rFonts w:ascii="Times New Roman" w:hAnsi="Times New Roman" w:cs="Times New Roman"/>
                <w:sz w:val="20"/>
                <w:szCs w:val="20"/>
                <w:lang w:val="uk-UA"/>
              </w:rPr>
            </w:pPr>
            <w:r>
              <w:rPr>
                <w:rFonts w:ascii="Times New Roman" w:hAnsi="Times New Roman" w:cs="Times New Roman"/>
                <w:sz w:val="20"/>
                <w:szCs w:val="20"/>
                <w:lang w:val="uk-UA" w:eastAsia="uk-UA"/>
              </w:rPr>
              <w:t xml:space="preserve">Позики  </w:t>
            </w:r>
          </w:p>
        </w:tc>
        <w:tc>
          <w:tcPr>
            <w:tcW w:w="1559" w:type="dxa"/>
            <w:shd w:val="clear" w:color="auto" w:fill="FFFFFF"/>
          </w:tcPr>
          <w:p w:rsidR="008F5D13" w:rsidRPr="00901D22" w:rsidRDefault="0004445F" w:rsidP="00651D15">
            <w:pPr>
              <w:pStyle w:val="191"/>
              <w:shd w:val="clear" w:color="auto" w:fill="auto"/>
              <w:spacing w:line="206" w:lineRule="exact"/>
              <w:ind w:left="57" w:right="57"/>
              <w:jc w:val="right"/>
              <w:rPr>
                <w:rFonts w:ascii="Times New Roman" w:hAnsi="Times New Roman" w:cs="Times New Roman"/>
                <w:sz w:val="20"/>
                <w:szCs w:val="20"/>
                <w:lang w:val="uk-UA"/>
              </w:rPr>
            </w:pPr>
            <w:r>
              <w:rPr>
                <w:rFonts w:ascii="Times New Roman" w:hAnsi="Times New Roman" w:cs="Times New Roman"/>
                <w:sz w:val="20"/>
                <w:szCs w:val="20"/>
                <w:lang w:val="uk-UA"/>
              </w:rPr>
              <w:t>46 477</w:t>
            </w:r>
          </w:p>
        </w:tc>
        <w:tc>
          <w:tcPr>
            <w:tcW w:w="1559" w:type="dxa"/>
            <w:shd w:val="clear" w:color="auto" w:fill="FFFFFF"/>
          </w:tcPr>
          <w:p w:rsidR="008F5D13" w:rsidRPr="00901D22" w:rsidRDefault="009B3D35" w:rsidP="00651D15">
            <w:pPr>
              <w:pStyle w:val="191"/>
              <w:shd w:val="clear" w:color="auto" w:fill="auto"/>
              <w:spacing w:line="206" w:lineRule="exact"/>
              <w:ind w:left="57" w:right="57"/>
              <w:jc w:val="right"/>
              <w:rPr>
                <w:rFonts w:ascii="Times New Roman" w:hAnsi="Times New Roman" w:cs="Times New Roman"/>
                <w:sz w:val="20"/>
                <w:szCs w:val="20"/>
                <w:lang w:val="uk-UA"/>
              </w:rPr>
            </w:pPr>
            <w:r>
              <w:rPr>
                <w:rFonts w:ascii="Times New Roman" w:hAnsi="Times New Roman" w:cs="Times New Roman"/>
                <w:sz w:val="20"/>
                <w:szCs w:val="20"/>
                <w:lang w:val="uk-UA"/>
              </w:rPr>
              <w:t>35 180</w:t>
            </w:r>
          </w:p>
        </w:tc>
      </w:tr>
      <w:tr w:rsidR="008F5D13" w:rsidRPr="00901D22" w:rsidTr="00651D15">
        <w:trPr>
          <w:trHeight w:val="77"/>
        </w:trPr>
        <w:tc>
          <w:tcPr>
            <w:tcW w:w="6096" w:type="dxa"/>
            <w:shd w:val="clear" w:color="auto" w:fill="FFFFFF"/>
          </w:tcPr>
          <w:p w:rsidR="008F5D13" w:rsidRPr="00901D22" w:rsidRDefault="008F5D13" w:rsidP="00651D15">
            <w:pPr>
              <w:pStyle w:val="141"/>
              <w:shd w:val="clear" w:color="auto" w:fill="auto"/>
              <w:spacing w:line="240" w:lineRule="auto"/>
              <w:ind w:left="142" w:right="165"/>
              <w:rPr>
                <w:rFonts w:ascii="Times New Roman" w:hAnsi="Times New Roman" w:cs="Times New Roman"/>
                <w:b w:val="0"/>
                <w:sz w:val="20"/>
                <w:szCs w:val="20"/>
                <w:lang w:val="uk-UA" w:eastAsia="uk-UA"/>
              </w:rPr>
            </w:pPr>
            <w:r w:rsidRPr="00901D22">
              <w:rPr>
                <w:rFonts w:ascii="Times New Roman" w:hAnsi="Times New Roman" w:cs="Times New Roman"/>
                <w:b w:val="0"/>
                <w:sz w:val="20"/>
                <w:szCs w:val="20"/>
                <w:lang w:val="uk-UA" w:eastAsia="uk-UA"/>
              </w:rPr>
              <w:t xml:space="preserve">Грошові </w:t>
            </w:r>
            <w:r>
              <w:rPr>
                <w:rFonts w:ascii="Times New Roman" w:hAnsi="Times New Roman" w:cs="Times New Roman"/>
                <w:b w:val="0"/>
                <w:sz w:val="20"/>
                <w:szCs w:val="20"/>
                <w:lang w:val="uk-UA" w:eastAsia="uk-UA"/>
              </w:rPr>
              <w:t xml:space="preserve">кошти та їх еквіваленти </w:t>
            </w:r>
          </w:p>
        </w:tc>
        <w:tc>
          <w:tcPr>
            <w:tcW w:w="1559" w:type="dxa"/>
            <w:tcBorders>
              <w:bottom w:val="single" w:sz="4" w:space="0" w:color="auto"/>
            </w:tcBorders>
            <w:shd w:val="clear" w:color="auto" w:fill="FFFFFF"/>
          </w:tcPr>
          <w:p w:rsidR="008F5D13" w:rsidRPr="00901D22" w:rsidRDefault="005C6DA7" w:rsidP="00651D15">
            <w:pPr>
              <w:pStyle w:val="201"/>
              <w:shd w:val="clear" w:color="auto" w:fill="auto"/>
              <w:spacing w:line="240" w:lineRule="auto"/>
              <w:ind w:left="57" w:right="57"/>
              <w:jc w:val="right"/>
              <w:rPr>
                <w:rFonts w:ascii="Times New Roman" w:hAnsi="Times New Roman" w:cs="Times New Roman"/>
                <w:b w:val="0"/>
                <w:sz w:val="20"/>
                <w:szCs w:val="20"/>
                <w:lang w:val="uk-UA"/>
              </w:rPr>
            </w:pPr>
            <w:r>
              <w:rPr>
                <w:rFonts w:ascii="Times New Roman" w:hAnsi="Times New Roman" w:cs="Times New Roman"/>
                <w:b w:val="0"/>
                <w:sz w:val="20"/>
                <w:szCs w:val="20"/>
                <w:lang w:val="uk-UA"/>
              </w:rPr>
              <w:t>(</w:t>
            </w:r>
            <w:r w:rsidR="0004445F">
              <w:rPr>
                <w:rFonts w:ascii="Times New Roman" w:hAnsi="Times New Roman" w:cs="Times New Roman"/>
                <w:b w:val="0"/>
                <w:sz w:val="20"/>
                <w:szCs w:val="20"/>
                <w:lang w:val="uk-UA"/>
              </w:rPr>
              <w:t>349</w:t>
            </w:r>
            <w:r w:rsidR="008F5D13">
              <w:rPr>
                <w:rFonts w:ascii="Times New Roman" w:hAnsi="Times New Roman" w:cs="Times New Roman"/>
                <w:b w:val="0"/>
                <w:sz w:val="20"/>
                <w:szCs w:val="20"/>
                <w:lang w:val="uk-UA"/>
              </w:rPr>
              <w:t>)</w:t>
            </w:r>
          </w:p>
        </w:tc>
        <w:tc>
          <w:tcPr>
            <w:tcW w:w="1559" w:type="dxa"/>
            <w:tcBorders>
              <w:bottom w:val="single" w:sz="4" w:space="0" w:color="auto"/>
            </w:tcBorders>
            <w:shd w:val="clear" w:color="auto" w:fill="FFFFFF"/>
          </w:tcPr>
          <w:p w:rsidR="008F5D13" w:rsidRPr="00901D22" w:rsidRDefault="009B3D35" w:rsidP="00651D15">
            <w:pPr>
              <w:pStyle w:val="201"/>
              <w:shd w:val="clear" w:color="auto" w:fill="auto"/>
              <w:spacing w:line="240" w:lineRule="auto"/>
              <w:ind w:left="57" w:right="57"/>
              <w:jc w:val="right"/>
              <w:rPr>
                <w:rFonts w:ascii="Times New Roman" w:hAnsi="Times New Roman" w:cs="Times New Roman"/>
                <w:b w:val="0"/>
                <w:sz w:val="20"/>
                <w:szCs w:val="20"/>
                <w:lang w:val="uk-UA"/>
              </w:rPr>
            </w:pPr>
            <w:r>
              <w:rPr>
                <w:rFonts w:ascii="Times New Roman" w:hAnsi="Times New Roman" w:cs="Times New Roman"/>
                <w:b w:val="0"/>
                <w:sz w:val="20"/>
                <w:szCs w:val="20"/>
                <w:lang w:val="uk-UA"/>
              </w:rPr>
              <w:t>(370</w:t>
            </w:r>
            <w:r w:rsidR="008F5D13">
              <w:rPr>
                <w:rFonts w:ascii="Times New Roman" w:hAnsi="Times New Roman" w:cs="Times New Roman"/>
                <w:b w:val="0"/>
                <w:sz w:val="20"/>
                <w:szCs w:val="20"/>
                <w:lang w:val="uk-UA"/>
              </w:rPr>
              <w:t>)</w:t>
            </w:r>
          </w:p>
        </w:tc>
      </w:tr>
      <w:tr w:rsidR="008F5D13" w:rsidRPr="00901D22" w:rsidTr="00651D15">
        <w:trPr>
          <w:trHeight w:val="77"/>
        </w:trPr>
        <w:tc>
          <w:tcPr>
            <w:tcW w:w="6096" w:type="dxa"/>
            <w:shd w:val="clear" w:color="auto" w:fill="FFFFFF"/>
          </w:tcPr>
          <w:p w:rsidR="008F5D13" w:rsidRPr="00901D22" w:rsidRDefault="008F5D13" w:rsidP="00651D15">
            <w:pPr>
              <w:pStyle w:val="141"/>
              <w:shd w:val="clear" w:color="auto" w:fill="auto"/>
              <w:spacing w:line="240" w:lineRule="auto"/>
              <w:ind w:left="142" w:right="165"/>
              <w:rPr>
                <w:rFonts w:ascii="Times New Roman" w:hAnsi="Times New Roman" w:cs="Times New Roman"/>
                <w:sz w:val="20"/>
                <w:szCs w:val="20"/>
                <w:lang w:val="uk-UA"/>
              </w:rPr>
            </w:pPr>
            <w:r w:rsidRPr="00901D22">
              <w:rPr>
                <w:rFonts w:ascii="Times New Roman" w:hAnsi="Times New Roman" w:cs="Times New Roman"/>
                <w:sz w:val="20"/>
                <w:szCs w:val="20"/>
                <w:lang w:val="uk-UA" w:eastAsia="uk-UA"/>
              </w:rPr>
              <w:t>Чиста заборгованість</w:t>
            </w:r>
          </w:p>
        </w:tc>
        <w:tc>
          <w:tcPr>
            <w:tcW w:w="1559" w:type="dxa"/>
            <w:tcBorders>
              <w:top w:val="single" w:sz="4" w:space="0" w:color="auto"/>
              <w:bottom w:val="single" w:sz="4" w:space="0" w:color="auto"/>
            </w:tcBorders>
            <w:shd w:val="clear" w:color="auto" w:fill="FFFFFF"/>
            <w:vAlign w:val="center"/>
          </w:tcPr>
          <w:p w:rsidR="008F5D13" w:rsidRPr="00901D22" w:rsidRDefault="00381F67" w:rsidP="00651D15">
            <w:pPr>
              <w:pStyle w:val="201"/>
              <w:shd w:val="clear" w:color="auto" w:fill="auto"/>
              <w:spacing w:line="240" w:lineRule="auto"/>
              <w:ind w:left="57" w:right="57"/>
              <w:jc w:val="right"/>
              <w:rPr>
                <w:rFonts w:ascii="Times New Roman" w:hAnsi="Times New Roman" w:cs="Times New Roman"/>
                <w:sz w:val="20"/>
                <w:szCs w:val="20"/>
                <w:lang w:val="uk-UA" w:eastAsia="uk-UA"/>
              </w:rPr>
            </w:pPr>
            <w:r>
              <w:rPr>
                <w:rFonts w:ascii="Times New Roman" w:hAnsi="Times New Roman" w:cs="Times New Roman"/>
                <w:sz w:val="20"/>
                <w:szCs w:val="20"/>
                <w:lang w:val="uk-UA" w:eastAsia="uk-UA"/>
              </w:rPr>
              <w:t>65 136</w:t>
            </w:r>
          </w:p>
        </w:tc>
        <w:tc>
          <w:tcPr>
            <w:tcW w:w="1559" w:type="dxa"/>
            <w:tcBorders>
              <w:top w:val="single" w:sz="4" w:space="0" w:color="auto"/>
              <w:bottom w:val="single" w:sz="4" w:space="0" w:color="auto"/>
            </w:tcBorders>
            <w:shd w:val="clear" w:color="auto" w:fill="FFFFFF"/>
            <w:vAlign w:val="center"/>
          </w:tcPr>
          <w:p w:rsidR="008F5D13" w:rsidRPr="00901D22" w:rsidRDefault="009B3D35" w:rsidP="00651D15">
            <w:pPr>
              <w:pStyle w:val="201"/>
              <w:shd w:val="clear" w:color="auto" w:fill="auto"/>
              <w:spacing w:line="240" w:lineRule="auto"/>
              <w:ind w:left="57" w:right="57"/>
              <w:jc w:val="right"/>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53 473</w:t>
            </w:r>
          </w:p>
        </w:tc>
      </w:tr>
      <w:tr w:rsidR="008F5D13" w:rsidRPr="00901D22" w:rsidTr="00651D15">
        <w:trPr>
          <w:trHeight w:val="77"/>
        </w:trPr>
        <w:tc>
          <w:tcPr>
            <w:tcW w:w="6096" w:type="dxa"/>
            <w:shd w:val="clear" w:color="auto" w:fill="FFFFFF"/>
          </w:tcPr>
          <w:p w:rsidR="008F5D13" w:rsidRPr="00901D22" w:rsidRDefault="008F5D13" w:rsidP="00651D15">
            <w:pPr>
              <w:pStyle w:val="111"/>
              <w:shd w:val="clear" w:color="auto" w:fill="auto"/>
              <w:spacing w:line="240" w:lineRule="auto"/>
              <w:ind w:left="142" w:right="165"/>
              <w:rPr>
                <w:rFonts w:ascii="Times New Roman" w:hAnsi="Times New Roman" w:cs="Times New Roman"/>
                <w:sz w:val="20"/>
                <w:szCs w:val="20"/>
                <w:lang w:val="uk-UA"/>
              </w:rPr>
            </w:pPr>
            <w:r w:rsidRPr="00901D22">
              <w:rPr>
                <w:rFonts w:ascii="Times New Roman" w:hAnsi="Times New Roman" w:cs="Times New Roman"/>
                <w:sz w:val="20"/>
                <w:szCs w:val="20"/>
                <w:lang w:val="uk-UA" w:eastAsia="uk-UA"/>
              </w:rPr>
              <w:t>Всього власного капіталу</w:t>
            </w:r>
          </w:p>
        </w:tc>
        <w:tc>
          <w:tcPr>
            <w:tcW w:w="1559" w:type="dxa"/>
            <w:tcBorders>
              <w:top w:val="single" w:sz="4" w:space="0" w:color="auto"/>
            </w:tcBorders>
            <w:shd w:val="clear" w:color="auto" w:fill="FFFFFF"/>
          </w:tcPr>
          <w:p w:rsidR="008F5D13" w:rsidRPr="00901D22" w:rsidRDefault="00381F67" w:rsidP="00651D15">
            <w:pPr>
              <w:pStyle w:val="191"/>
              <w:shd w:val="clear" w:color="auto" w:fill="auto"/>
              <w:spacing w:line="240" w:lineRule="auto"/>
              <w:ind w:left="57" w:right="57"/>
              <w:jc w:val="right"/>
              <w:rPr>
                <w:rFonts w:ascii="Times New Roman" w:hAnsi="Times New Roman" w:cs="Times New Roman"/>
                <w:sz w:val="20"/>
                <w:szCs w:val="20"/>
                <w:lang w:val="uk-UA"/>
              </w:rPr>
            </w:pPr>
            <w:r>
              <w:rPr>
                <w:rFonts w:ascii="Times New Roman" w:hAnsi="Times New Roman" w:cs="Times New Roman"/>
                <w:sz w:val="20"/>
                <w:szCs w:val="20"/>
                <w:lang w:val="uk-UA"/>
              </w:rPr>
              <w:t>119 171</w:t>
            </w:r>
          </w:p>
        </w:tc>
        <w:tc>
          <w:tcPr>
            <w:tcW w:w="1559" w:type="dxa"/>
            <w:tcBorders>
              <w:top w:val="single" w:sz="4" w:space="0" w:color="auto"/>
            </w:tcBorders>
            <w:shd w:val="clear" w:color="auto" w:fill="FFFFFF"/>
          </w:tcPr>
          <w:p w:rsidR="008F5D13" w:rsidRPr="00901D22" w:rsidRDefault="009B3D35" w:rsidP="00651D15">
            <w:pPr>
              <w:pStyle w:val="191"/>
              <w:shd w:val="clear" w:color="auto" w:fill="auto"/>
              <w:spacing w:line="240" w:lineRule="auto"/>
              <w:ind w:left="57" w:right="57"/>
              <w:jc w:val="right"/>
              <w:rPr>
                <w:rFonts w:ascii="Times New Roman" w:hAnsi="Times New Roman" w:cs="Times New Roman"/>
                <w:sz w:val="20"/>
                <w:szCs w:val="20"/>
                <w:lang w:val="uk-UA"/>
              </w:rPr>
            </w:pPr>
            <w:r>
              <w:rPr>
                <w:rFonts w:ascii="Times New Roman" w:hAnsi="Times New Roman" w:cs="Times New Roman"/>
                <w:sz w:val="20"/>
                <w:szCs w:val="20"/>
                <w:lang w:val="uk-UA"/>
              </w:rPr>
              <w:t>126 933</w:t>
            </w:r>
          </w:p>
        </w:tc>
      </w:tr>
      <w:tr w:rsidR="008F5D13" w:rsidRPr="00901D22" w:rsidTr="00651D15">
        <w:trPr>
          <w:trHeight w:val="77"/>
        </w:trPr>
        <w:tc>
          <w:tcPr>
            <w:tcW w:w="6096" w:type="dxa"/>
            <w:shd w:val="clear" w:color="auto" w:fill="FFFFFF"/>
          </w:tcPr>
          <w:p w:rsidR="008F5D13" w:rsidRPr="00901D22" w:rsidRDefault="008F5D13" w:rsidP="00651D15">
            <w:pPr>
              <w:pStyle w:val="111"/>
              <w:shd w:val="clear" w:color="auto" w:fill="auto"/>
              <w:spacing w:line="240" w:lineRule="auto"/>
              <w:ind w:left="142" w:right="165"/>
              <w:rPr>
                <w:rFonts w:ascii="Times New Roman" w:hAnsi="Times New Roman" w:cs="Times New Roman"/>
                <w:sz w:val="20"/>
                <w:szCs w:val="20"/>
                <w:lang w:val="uk-UA"/>
              </w:rPr>
            </w:pPr>
            <w:r w:rsidRPr="00901D22">
              <w:rPr>
                <w:rFonts w:ascii="Times New Roman" w:hAnsi="Times New Roman" w:cs="Times New Roman"/>
                <w:sz w:val="20"/>
                <w:szCs w:val="20"/>
                <w:lang w:val="uk-UA" w:eastAsia="uk-UA"/>
              </w:rPr>
              <w:t>Капітал і чиста заборгованість</w:t>
            </w:r>
          </w:p>
        </w:tc>
        <w:tc>
          <w:tcPr>
            <w:tcW w:w="1559" w:type="dxa"/>
            <w:tcBorders>
              <w:bottom w:val="single" w:sz="4" w:space="0" w:color="auto"/>
            </w:tcBorders>
            <w:shd w:val="clear" w:color="auto" w:fill="FFFFFF"/>
            <w:vAlign w:val="center"/>
          </w:tcPr>
          <w:p w:rsidR="008F5D13" w:rsidRPr="00901D22" w:rsidRDefault="00381F67" w:rsidP="00651D15">
            <w:pPr>
              <w:pStyle w:val="191"/>
              <w:shd w:val="clear" w:color="auto" w:fill="auto"/>
              <w:spacing w:line="240" w:lineRule="auto"/>
              <w:ind w:left="57" w:right="57"/>
              <w:jc w:val="right"/>
              <w:rPr>
                <w:rFonts w:ascii="Times New Roman" w:hAnsi="Times New Roman" w:cs="Times New Roman"/>
                <w:sz w:val="20"/>
                <w:szCs w:val="20"/>
                <w:lang w:val="uk-UA"/>
              </w:rPr>
            </w:pPr>
            <w:r>
              <w:rPr>
                <w:rFonts w:ascii="Times New Roman" w:hAnsi="Times New Roman" w:cs="Times New Roman"/>
                <w:sz w:val="20"/>
                <w:szCs w:val="20"/>
                <w:lang w:val="uk-UA"/>
              </w:rPr>
              <w:t xml:space="preserve">184 307  </w:t>
            </w:r>
          </w:p>
        </w:tc>
        <w:tc>
          <w:tcPr>
            <w:tcW w:w="1559" w:type="dxa"/>
            <w:tcBorders>
              <w:bottom w:val="single" w:sz="4" w:space="0" w:color="auto"/>
            </w:tcBorders>
            <w:shd w:val="clear" w:color="auto" w:fill="FFFFFF"/>
            <w:vAlign w:val="center"/>
          </w:tcPr>
          <w:p w:rsidR="008F5D13" w:rsidRPr="00901D22" w:rsidRDefault="009B3D35" w:rsidP="00651D15">
            <w:pPr>
              <w:pStyle w:val="191"/>
              <w:shd w:val="clear" w:color="auto" w:fill="auto"/>
              <w:spacing w:line="240" w:lineRule="auto"/>
              <w:ind w:left="57" w:right="57"/>
              <w:jc w:val="right"/>
              <w:rPr>
                <w:rFonts w:ascii="Times New Roman" w:hAnsi="Times New Roman" w:cs="Times New Roman"/>
                <w:sz w:val="20"/>
                <w:szCs w:val="20"/>
                <w:lang w:val="uk-UA"/>
              </w:rPr>
            </w:pPr>
            <w:r>
              <w:rPr>
                <w:rFonts w:ascii="Times New Roman" w:hAnsi="Times New Roman" w:cs="Times New Roman"/>
                <w:sz w:val="20"/>
                <w:szCs w:val="20"/>
                <w:lang w:val="uk-UA"/>
              </w:rPr>
              <w:t>180 406</w:t>
            </w:r>
          </w:p>
        </w:tc>
      </w:tr>
      <w:tr w:rsidR="008F5D13" w:rsidRPr="00901D22" w:rsidTr="00651D15">
        <w:trPr>
          <w:trHeight w:val="77"/>
        </w:trPr>
        <w:tc>
          <w:tcPr>
            <w:tcW w:w="6096" w:type="dxa"/>
            <w:shd w:val="clear" w:color="auto" w:fill="FFFFFF"/>
          </w:tcPr>
          <w:p w:rsidR="008F5D13" w:rsidRPr="00901D22" w:rsidRDefault="008F5D13" w:rsidP="00651D15">
            <w:pPr>
              <w:pStyle w:val="141"/>
              <w:shd w:val="clear" w:color="auto" w:fill="auto"/>
              <w:spacing w:line="206" w:lineRule="exact"/>
              <w:ind w:left="142" w:right="165"/>
              <w:rPr>
                <w:rFonts w:ascii="Times New Roman" w:hAnsi="Times New Roman" w:cs="Times New Roman"/>
                <w:sz w:val="20"/>
                <w:szCs w:val="20"/>
                <w:lang w:val="uk-UA"/>
              </w:rPr>
            </w:pPr>
            <w:r w:rsidRPr="00901D22">
              <w:rPr>
                <w:rFonts w:ascii="Times New Roman" w:hAnsi="Times New Roman" w:cs="Times New Roman"/>
                <w:sz w:val="20"/>
                <w:szCs w:val="20"/>
                <w:lang w:val="uk-UA" w:eastAsia="uk-UA"/>
              </w:rPr>
              <w:t>Співвідношення чистої заборгованості до суми капіталу і чистої заборгованості</w:t>
            </w:r>
          </w:p>
        </w:tc>
        <w:tc>
          <w:tcPr>
            <w:tcW w:w="1559" w:type="dxa"/>
            <w:tcBorders>
              <w:top w:val="single" w:sz="4" w:space="0" w:color="auto"/>
              <w:bottom w:val="single" w:sz="4" w:space="0" w:color="auto"/>
            </w:tcBorders>
            <w:shd w:val="clear" w:color="auto" w:fill="FFFFFF"/>
            <w:vAlign w:val="bottom"/>
          </w:tcPr>
          <w:p w:rsidR="008F5D13" w:rsidRPr="00901D22" w:rsidRDefault="00381F67" w:rsidP="00651D15">
            <w:pPr>
              <w:pStyle w:val="191"/>
              <w:shd w:val="clear" w:color="auto" w:fill="auto"/>
              <w:spacing w:line="240" w:lineRule="auto"/>
              <w:ind w:left="57" w:right="57"/>
              <w:jc w:val="right"/>
              <w:rPr>
                <w:rFonts w:ascii="Times New Roman" w:hAnsi="Times New Roman" w:cs="Times New Roman"/>
                <w:b/>
                <w:sz w:val="20"/>
                <w:szCs w:val="20"/>
                <w:lang w:val="uk-UA"/>
              </w:rPr>
            </w:pPr>
            <w:r>
              <w:rPr>
                <w:rFonts w:ascii="Times New Roman" w:hAnsi="Times New Roman" w:cs="Times New Roman"/>
                <w:b/>
                <w:sz w:val="20"/>
                <w:szCs w:val="20"/>
                <w:lang w:val="uk-UA"/>
              </w:rPr>
              <w:t>35,34</w:t>
            </w:r>
            <w:r w:rsidR="008F5D13" w:rsidRPr="00901D22">
              <w:rPr>
                <w:rFonts w:ascii="Times New Roman" w:hAnsi="Times New Roman" w:cs="Times New Roman"/>
                <w:b/>
                <w:sz w:val="20"/>
                <w:szCs w:val="20"/>
                <w:lang w:val="uk-UA"/>
              </w:rPr>
              <w:t>%</w:t>
            </w:r>
          </w:p>
        </w:tc>
        <w:tc>
          <w:tcPr>
            <w:tcW w:w="1559" w:type="dxa"/>
            <w:tcBorders>
              <w:top w:val="single" w:sz="4" w:space="0" w:color="auto"/>
              <w:bottom w:val="single" w:sz="4" w:space="0" w:color="auto"/>
            </w:tcBorders>
            <w:shd w:val="clear" w:color="auto" w:fill="FFFFFF"/>
            <w:vAlign w:val="bottom"/>
          </w:tcPr>
          <w:p w:rsidR="008F5D13" w:rsidRPr="00901D22" w:rsidRDefault="009B3D35" w:rsidP="00651D15">
            <w:pPr>
              <w:pStyle w:val="191"/>
              <w:shd w:val="clear" w:color="auto" w:fill="auto"/>
              <w:spacing w:line="240" w:lineRule="auto"/>
              <w:ind w:left="57" w:right="57"/>
              <w:jc w:val="right"/>
              <w:rPr>
                <w:rFonts w:ascii="Times New Roman" w:hAnsi="Times New Roman" w:cs="Times New Roman"/>
                <w:b/>
                <w:sz w:val="20"/>
                <w:szCs w:val="20"/>
                <w:lang w:val="uk-UA"/>
              </w:rPr>
            </w:pPr>
            <w:r>
              <w:rPr>
                <w:rFonts w:ascii="Times New Roman" w:hAnsi="Times New Roman" w:cs="Times New Roman"/>
                <w:b/>
                <w:sz w:val="20"/>
                <w:szCs w:val="20"/>
                <w:lang w:val="uk-UA"/>
              </w:rPr>
              <w:t>29,64</w:t>
            </w:r>
            <w:r w:rsidR="008F5D13" w:rsidRPr="00901D22">
              <w:rPr>
                <w:rFonts w:ascii="Times New Roman" w:hAnsi="Times New Roman" w:cs="Times New Roman"/>
                <w:b/>
                <w:sz w:val="20"/>
                <w:szCs w:val="20"/>
                <w:lang w:val="uk-UA"/>
              </w:rPr>
              <w:t>%</w:t>
            </w:r>
          </w:p>
        </w:tc>
      </w:tr>
    </w:tbl>
    <w:p w:rsidR="008F5D13" w:rsidRPr="00901D22" w:rsidRDefault="008F5D13" w:rsidP="008F5D13">
      <w:pPr>
        <w:spacing w:after="200" w:line="276" w:lineRule="auto"/>
        <w:rPr>
          <w:rFonts w:ascii="Times New Roman" w:hAnsi="Times New Roman" w:cs="Times New Roman"/>
          <w:sz w:val="20"/>
          <w:szCs w:val="20"/>
        </w:rPr>
      </w:pPr>
    </w:p>
    <w:p w:rsidR="00D24980" w:rsidRPr="00901D22" w:rsidRDefault="006415C4" w:rsidP="00D24980">
      <w:pPr>
        <w:spacing w:before="120" w:line="276" w:lineRule="auto"/>
        <w:jc w:val="both"/>
        <w:rPr>
          <w:rFonts w:ascii="Times New Roman" w:hAnsi="Times New Roman" w:cs="Times New Roman"/>
          <w:sz w:val="20"/>
          <w:szCs w:val="20"/>
        </w:rPr>
      </w:pPr>
      <w:r>
        <w:rPr>
          <w:rFonts w:ascii="Times New Roman" w:hAnsi="Times New Roman" w:cs="Times New Roman"/>
          <w:sz w:val="20"/>
          <w:szCs w:val="20"/>
        </w:rPr>
        <w:t>Підприємство</w:t>
      </w:r>
      <w:r w:rsidR="003C1D78">
        <w:rPr>
          <w:rFonts w:ascii="Times New Roman" w:hAnsi="Times New Roman" w:cs="Times New Roman"/>
          <w:sz w:val="20"/>
          <w:szCs w:val="20"/>
        </w:rPr>
        <w:t xml:space="preserve"> </w:t>
      </w:r>
      <w:r w:rsidR="003C1D78" w:rsidRPr="00901D22">
        <w:rPr>
          <w:rFonts w:ascii="Times New Roman" w:hAnsi="Times New Roman" w:cs="Times New Roman"/>
          <w:sz w:val="20"/>
          <w:szCs w:val="20"/>
        </w:rPr>
        <w:t xml:space="preserve"> </w:t>
      </w:r>
      <w:r>
        <w:rPr>
          <w:rFonts w:ascii="Times New Roman" w:hAnsi="Times New Roman" w:cs="Times New Roman"/>
          <w:sz w:val="20"/>
          <w:szCs w:val="20"/>
        </w:rPr>
        <w:t>не брало</w:t>
      </w:r>
      <w:r w:rsidR="00D24980" w:rsidRPr="00901D22">
        <w:rPr>
          <w:rFonts w:ascii="Times New Roman" w:hAnsi="Times New Roman" w:cs="Times New Roman"/>
          <w:sz w:val="20"/>
          <w:szCs w:val="20"/>
        </w:rPr>
        <w:t xml:space="preserve"> участі в операціях із використанням похідних фінансових інструментів. Загальна програма управління ризиками </w:t>
      </w:r>
      <w:r>
        <w:rPr>
          <w:rFonts w:ascii="Times New Roman" w:hAnsi="Times New Roman" w:cs="Times New Roman"/>
          <w:sz w:val="20"/>
          <w:szCs w:val="20"/>
        </w:rPr>
        <w:t>підприємства</w:t>
      </w:r>
      <w:r w:rsidR="00D24980" w:rsidRPr="00901D22">
        <w:rPr>
          <w:rFonts w:ascii="Times New Roman" w:hAnsi="Times New Roman" w:cs="Times New Roman"/>
          <w:sz w:val="20"/>
          <w:szCs w:val="20"/>
        </w:rPr>
        <w:t xml:space="preserve"> зосереджена на непередбачуваності та неефективності фінансового ринку України і спрямована на зменшення його потенційного негативного впливу на</w:t>
      </w:r>
      <w:r>
        <w:rPr>
          <w:rFonts w:ascii="Times New Roman" w:hAnsi="Times New Roman" w:cs="Times New Roman"/>
          <w:sz w:val="20"/>
          <w:szCs w:val="20"/>
        </w:rPr>
        <w:t xml:space="preserve"> його</w:t>
      </w:r>
      <w:r w:rsidR="00D24980" w:rsidRPr="00901D22">
        <w:rPr>
          <w:rFonts w:ascii="Times New Roman" w:hAnsi="Times New Roman" w:cs="Times New Roman"/>
          <w:sz w:val="20"/>
          <w:szCs w:val="20"/>
        </w:rPr>
        <w:t xml:space="preserve"> фінансовий стан .</w:t>
      </w:r>
    </w:p>
    <w:p w:rsidR="00D24980" w:rsidRPr="00901D22" w:rsidRDefault="00D24980" w:rsidP="00D24980">
      <w:pPr>
        <w:spacing w:before="120" w:line="276" w:lineRule="auto"/>
        <w:jc w:val="both"/>
        <w:rPr>
          <w:rFonts w:ascii="Times New Roman" w:hAnsi="Times New Roman" w:cs="Times New Roman"/>
          <w:sz w:val="20"/>
          <w:szCs w:val="20"/>
        </w:rPr>
      </w:pPr>
      <w:r w:rsidRPr="00901D22">
        <w:rPr>
          <w:rFonts w:ascii="Times New Roman" w:hAnsi="Times New Roman" w:cs="Times New Roman"/>
          <w:sz w:val="20"/>
          <w:szCs w:val="20"/>
        </w:rPr>
        <w:t xml:space="preserve">Основні ризики, властиві фінансовим інструментам </w:t>
      </w:r>
      <w:r w:rsidR="006415C4">
        <w:rPr>
          <w:rFonts w:ascii="Times New Roman" w:hAnsi="Times New Roman" w:cs="Times New Roman"/>
          <w:sz w:val="20"/>
          <w:szCs w:val="20"/>
        </w:rPr>
        <w:t>підприємства</w:t>
      </w:r>
      <w:r w:rsidRPr="00901D22">
        <w:rPr>
          <w:rFonts w:ascii="Times New Roman" w:hAnsi="Times New Roman" w:cs="Times New Roman"/>
          <w:sz w:val="20"/>
          <w:szCs w:val="20"/>
        </w:rPr>
        <w:t>, включають ринковий ризик, ризик ліквідності та кредитний ризик. Керівництво аналізує та узгоджує політику управління кожним із цих ризиків, основні принципи якої викладені нижче.</w:t>
      </w:r>
    </w:p>
    <w:p w:rsidR="00D24980" w:rsidRPr="00901D22" w:rsidRDefault="00D24980" w:rsidP="00D24980">
      <w:pPr>
        <w:spacing w:before="120" w:line="276" w:lineRule="auto"/>
        <w:jc w:val="both"/>
        <w:rPr>
          <w:rFonts w:ascii="Times New Roman" w:hAnsi="Times New Roman" w:cs="Times New Roman"/>
          <w:sz w:val="20"/>
          <w:szCs w:val="20"/>
        </w:rPr>
      </w:pPr>
      <w:r w:rsidRPr="00901D22">
        <w:rPr>
          <w:rFonts w:ascii="Times New Roman" w:hAnsi="Times New Roman" w:cs="Times New Roman"/>
          <w:b/>
          <w:sz w:val="20"/>
          <w:szCs w:val="20"/>
        </w:rPr>
        <w:t>Ринковий ризик</w:t>
      </w:r>
      <w:r w:rsidRPr="00901D22">
        <w:rPr>
          <w:rFonts w:ascii="Times New Roman" w:hAnsi="Times New Roman" w:cs="Times New Roman"/>
          <w:sz w:val="20"/>
          <w:szCs w:val="20"/>
        </w:rPr>
        <w:t xml:space="preserve"> - Для діяльності </w:t>
      </w:r>
      <w:r w:rsidR="006415C4">
        <w:rPr>
          <w:rFonts w:ascii="Times New Roman" w:hAnsi="Times New Roman" w:cs="Times New Roman"/>
          <w:sz w:val="20"/>
          <w:szCs w:val="20"/>
        </w:rPr>
        <w:t>підприємства</w:t>
      </w:r>
      <w:r w:rsidRPr="00901D22">
        <w:rPr>
          <w:rFonts w:ascii="Times New Roman" w:hAnsi="Times New Roman" w:cs="Times New Roman"/>
          <w:sz w:val="20"/>
          <w:szCs w:val="20"/>
        </w:rPr>
        <w:t>, в основному, характерні фінансові ризики у результаті ринкових змін курсів обміну валют та відсоткових ставок. Ринкові ризики оцінюються із використанням аналізів чутливості, які враховують вплив обґрунтовано можливих змін відсоткових ставок або курсів обміну валют протягом року.</w:t>
      </w:r>
    </w:p>
    <w:p w:rsidR="00D24980" w:rsidRPr="00901D22" w:rsidRDefault="00D24980" w:rsidP="00D24980">
      <w:pPr>
        <w:spacing w:before="120" w:line="276" w:lineRule="auto"/>
        <w:jc w:val="both"/>
        <w:rPr>
          <w:rFonts w:ascii="Times New Roman" w:hAnsi="Times New Roman" w:cs="Times New Roman"/>
          <w:sz w:val="20"/>
          <w:szCs w:val="20"/>
        </w:rPr>
      </w:pPr>
      <w:r w:rsidRPr="00901D22">
        <w:rPr>
          <w:rFonts w:ascii="Times New Roman" w:hAnsi="Times New Roman" w:cs="Times New Roman"/>
          <w:b/>
          <w:sz w:val="20"/>
          <w:szCs w:val="20"/>
        </w:rPr>
        <w:t>Валютний ризик</w:t>
      </w:r>
      <w:r w:rsidRPr="00901D22">
        <w:rPr>
          <w:rFonts w:ascii="Times New Roman" w:hAnsi="Times New Roman" w:cs="Times New Roman"/>
          <w:sz w:val="20"/>
          <w:szCs w:val="20"/>
        </w:rPr>
        <w:t xml:space="preserve"> - Валютний ризик являє собою ризик того, що справедлива вартість майбутніх потоків грошових коштів від фінансового інструмента коливатиметься у результаті змін курсів обміну валют. Схильність </w:t>
      </w:r>
      <w:r w:rsidR="006415C4">
        <w:rPr>
          <w:rFonts w:ascii="Times New Roman" w:hAnsi="Times New Roman" w:cs="Times New Roman"/>
          <w:sz w:val="20"/>
          <w:szCs w:val="20"/>
        </w:rPr>
        <w:t>підприємства</w:t>
      </w:r>
      <w:r w:rsidR="003C1D78">
        <w:rPr>
          <w:rFonts w:ascii="Times New Roman" w:hAnsi="Times New Roman" w:cs="Times New Roman"/>
          <w:sz w:val="20"/>
          <w:szCs w:val="20"/>
        </w:rPr>
        <w:t xml:space="preserve"> </w:t>
      </w:r>
      <w:r w:rsidRPr="00901D22">
        <w:rPr>
          <w:rFonts w:ascii="Times New Roman" w:hAnsi="Times New Roman" w:cs="Times New Roman"/>
          <w:sz w:val="20"/>
          <w:szCs w:val="20"/>
        </w:rPr>
        <w:t>до ризику коливання валютних курсів обумовлен</w:t>
      </w:r>
      <w:r w:rsidR="00FD1070">
        <w:rPr>
          <w:rFonts w:ascii="Times New Roman" w:hAnsi="Times New Roman" w:cs="Times New Roman"/>
          <w:sz w:val="20"/>
          <w:szCs w:val="20"/>
        </w:rPr>
        <w:t>а наявністю валютного кредиту</w:t>
      </w:r>
      <w:r w:rsidRPr="00901D22">
        <w:rPr>
          <w:rFonts w:ascii="Times New Roman" w:hAnsi="Times New Roman" w:cs="Times New Roman"/>
          <w:sz w:val="20"/>
          <w:szCs w:val="20"/>
        </w:rPr>
        <w:t xml:space="preserve">. Коливання валютного курсу впливає на розмір заборгованості за відсотками, вираженими в іноземній валюті (доларах США), а також може призвести до зміни оподатковуваного прибутку </w:t>
      </w:r>
      <w:r w:rsidR="003B4CEF">
        <w:rPr>
          <w:rFonts w:ascii="Times New Roman" w:hAnsi="Times New Roman" w:cs="Times New Roman"/>
          <w:sz w:val="20"/>
          <w:szCs w:val="20"/>
        </w:rPr>
        <w:t>підприємства</w:t>
      </w:r>
      <w:r w:rsidRPr="00901D22">
        <w:rPr>
          <w:rFonts w:ascii="Times New Roman" w:hAnsi="Times New Roman" w:cs="Times New Roman"/>
          <w:sz w:val="20"/>
          <w:szCs w:val="20"/>
        </w:rPr>
        <w:t xml:space="preserve">, оскільки такі зміни враховуються </w:t>
      </w:r>
      <w:r w:rsidR="003B4CEF">
        <w:rPr>
          <w:rFonts w:ascii="Times New Roman" w:hAnsi="Times New Roman" w:cs="Times New Roman"/>
          <w:sz w:val="20"/>
          <w:szCs w:val="20"/>
        </w:rPr>
        <w:t>підприємством</w:t>
      </w:r>
      <w:r w:rsidRPr="00901D22">
        <w:rPr>
          <w:rFonts w:ascii="Times New Roman" w:hAnsi="Times New Roman" w:cs="Times New Roman"/>
          <w:sz w:val="20"/>
          <w:szCs w:val="20"/>
        </w:rPr>
        <w:t xml:space="preserve"> в податковому обліку. </w:t>
      </w:r>
    </w:p>
    <w:p w:rsidR="00D24980" w:rsidRDefault="00D24980" w:rsidP="00D24980">
      <w:pPr>
        <w:spacing w:before="120" w:line="276" w:lineRule="auto"/>
        <w:jc w:val="both"/>
        <w:rPr>
          <w:rFonts w:ascii="Times New Roman" w:hAnsi="Times New Roman" w:cs="Times New Roman"/>
          <w:sz w:val="20"/>
          <w:szCs w:val="20"/>
        </w:rPr>
      </w:pPr>
      <w:r w:rsidRPr="00901D22">
        <w:rPr>
          <w:rFonts w:ascii="Times New Roman" w:hAnsi="Times New Roman" w:cs="Times New Roman"/>
          <w:sz w:val="20"/>
          <w:szCs w:val="20"/>
        </w:rPr>
        <w:lastRenderedPageBreak/>
        <w:t xml:space="preserve">Оскільки протягом </w:t>
      </w:r>
      <w:r w:rsidRPr="0086668B">
        <w:rPr>
          <w:rFonts w:ascii="Times New Roman" w:hAnsi="Times New Roman" w:cs="Times New Roman"/>
          <w:sz w:val="20"/>
          <w:szCs w:val="20"/>
        </w:rPr>
        <w:t xml:space="preserve"> </w:t>
      </w:r>
      <w:r w:rsidR="00172C0F">
        <w:rPr>
          <w:rFonts w:ascii="Times New Roman" w:hAnsi="Times New Roman" w:cs="Times New Roman"/>
          <w:sz w:val="20"/>
          <w:szCs w:val="20"/>
        </w:rPr>
        <w:t>2021</w:t>
      </w:r>
      <w:r w:rsidR="003B4CEF">
        <w:rPr>
          <w:rFonts w:ascii="Times New Roman" w:hAnsi="Times New Roman" w:cs="Times New Roman"/>
          <w:sz w:val="20"/>
          <w:szCs w:val="20"/>
        </w:rPr>
        <w:t xml:space="preserve"> </w:t>
      </w:r>
      <w:r w:rsidR="00900363">
        <w:rPr>
          <w:rFonts w:ascii="Times New Roman" w:hAnsi="Times New Roman" w:cs="Times New Roman"/>
          <w:sz w:val="20"/>
          <w:szCs w:val="20"/>
        </w:rPr>
        <w:t xml:space="preserve"> року спостер</w:t>
      </w:r>
      <w:r w:rsidR="00172C0F">
        <w:rPr>
          <w:rFonts w:ascii="Times New Roman" w:hAnsi="Times New Roman" w:cs="Times New Roman"/>
          <w:sz w:val="20"/>
          <w:szCs w:val="20"/>
        </w:rPr>
        <w:t>ігалася  тенденція до зменшення</w:t>
      </w:r>
      <w:r w:rsidRPr="00901D22">
        <w:rPr>
          <w:rFonts w:ascii="Times New Roman" w:hAnsi="Times New Roman" w:cs="Times New Roman"/>
          <w:sz w:val="20"/>
          <w:szCs w:val="20"/>
        </w:rPr>
        <w:t xml:space="preserve"> курсу долара США порівняно до національної в</w:t>
      </w:r>
      <w:r w:rsidR="00900363">
        <w:rPr>
          <w:rFonts w:ascii="Times New Roman" w:hAnsi="Times New Roman" w:cs="Times New Roman"/>
          <w:sz w:val="20"/>
          <w:szCs w:val="20"/>
        </w:rPr>
        <w:t>а</w:t>
      </w:r>
      <w:r w:rsidR="00172C0F">
        <w:rPr>
          <w:rFonts w:ascii="Times New Roman" w:hAnsi="Times New Roman" w:cs="Times New Roman"/>
          <w:sz w:val="20"/>
          <w:szCs w:val="20"/>
        </w:rPr>
        <w:t>люти України, то таке зменшення призводить до збільшення</w:t>
      </w:r>
      <w:r w:rsidRPr="00901D22">
        <w:rPr>
          <w:rFonts w:ascii="Times New Roman" w:hAnsi="Times New Roman" w:cs="Times New Roman"/>
          <w:sz w:val="20"/>
          <w:szCs w:val="20"/>
        </w:rPr>
        <w:t xml:space="preserve"> оподатковуваного прибутку </w:t>
      </w:r>
      <w:r w:rsidR="003B4CEF">
        <w:rPr>
          <w:rFonts w:ascii="Times New Roman" w:hAnsi="Times New Roman" w:cs="Times New Roman"/>
          <w:sz w:val="20"/>
          <w:szCs w:val="20"/>
        </w:rPr>
        <w:t>підприємства</w:t>
      </w:r>
      <w:r w:rsidR="00172C0F">
        <w:rPr>
          <w:rFonts w:ascii="Times New Roman" w:hAnsi="Times New Roman" w:cs="Times New Roman"/>
          <w:sz w:val="20"/>
          <w:szCs w:val="20"/>
        </w:rPr>
        <w:t xml:space="preserve"> та зменшення </w:t>
      </w:r>
      <w:r w:rsidRPr="00901D22">
        <w:rPr>
          <w:rFonts w:ascii="Times New Roman" w:hAnsi="Times New Roman" w:cs="Times New Roman"/>
          <w:sz w:val="20"/>
          <w:szCs w:val="20"/>
        </w:rPr>
        <w:t xml:space="preserve"> потоків грошових коштів, що підлягають виплаті як відсотки за запозиченням. </w:t>
      </w:r>
    </w:p>
    <w:p w:rsidR="00D24980" w:rsidRPr="00901D22" w:rsidRDefault="00D24980" w:rsidP="00D24980">
      <w:pPr>
        <w:spacing w:before="120" w:line="276" w:lineRule="auto"/>
        <w:jc w:val="both"/>
        <w:rPr>
          <w:rFonts w:ascii="Times New Roman" w:hAnsi="Times New Roman" w:cs="Times New Roman"/>
          <w:sz w:val="20"/>
          <w:szCs w:val="20"/>
        </w:rPr>
      </w:pPr>
      <w:r w:rsidRPr="00901D22">
        <w:rPr>
          <w:rFonts w:ascii="Times New Roman" w:hAnsi="Times New Roman" w:cs="Times New Roman"/>
          <w:b/>
          <w:sz w:val="20"/>
          <w:szCs w:val="20"/>
        </w:rPr>
        <w:t>Ризик зміни відсоткових ставок</w:t>
      </w:r>
      <w:r w:rsidRPr="00901D22">
        <w:rPr>
          <w:rFonts w:ascii="Times New Roman" w:hAnsi="Times New Roman" w:cs="Times New Roman"/>
          <w:sz w:val="20"/>
          <w:szCs w:val="20"/>
        </w:rPr>
        <w:t xml:space="preserve"> - Ризик зміни відсоткових ставок являє собою ризик того, що справедлива вартість або потоки грошових коштів від фінансових інструментів коливатимуться у результаті ринкових змін відсотко</w:t>
      </w:r>
      <w:r w:rsidR="003B4CEF">
        <w:rPr>
          <w:rFonts w:ascii="Times New Roman" w:hAnsi="Times New Roman" w:cs="Times New Roman"/>
          <w:sz w:val="20"/>
          <w:szCs w:val="20"/>
        </w:rPr>
        <w:t>вих ставок. Ринковий ризик підприємства</w:t>
      </w:r>
      <w:r w:rsidRPr="00901D22">
        <w:rPr>
          <w:rFonts w:ascii="Times New Roman" w:hAnsi="Times New Roman" w:cs="Times New Roman"/>
          <w:sz w:val="20"/>
          <w:szCs w:val="20"/>
        </w:rPr>
        <w:t xml:space="preserve"> щодо змін відсоткових ставок стосуєт</w:t>
      </w:r>
      <w:r w:rsidR="003B4CEF">
        <w:rPr>
          <w:rFonts w:ascii="Times New Roman" w:hAnsi="Times New Roman" w:cs="Times New Roman"/>
          <w:sz w:val="20"/>
          <w:szCs w:val="20"/>
        </w:rPr>
        <w:t>ься, головним чином, позик</w:t>
      </w:r>
      <w:r w:rsidRPr="00901D22">
        <w:rPr>
          <w:rFonts w:ascii="Times New Roman" w:hAnsi="Times New Roman" w:cs="Times New Roman"/>
          <w:sz w:val="20"/>
          <w:szCs w:val="20"/>
        </w:rPr>
        <w:t>, отриманих за фіксованими відсотковими ставками. Керівництво здійснює регулярний моніторинг ринкових відсоткових ставок для мінімізації свого ризику змін відсоткових ставок.</w:t>
      </w:r>
    </w:p>
    <w:p w:rsidR="00D24980" w:rsidRPr="00901D22" w:rsidRDefault="00D24980" w:rsidP="00D24980">
      <w:pPr>
        <w:spacing w:before="120" w:after="120" w:line="276" w:lineRule="auto"/>
        <w:jc w:val="both"/>
        <w:rPr>
          <w:rFonts w:ascii="Times New Roman" w:hAnsi="Times New Roman" w:cs="Times New Roman"/>
          <w:sz w:val="20"/>
          <w:szCs w:val="20"/>
        </w:rPr>
      </w:pPr>
      <w:r w:rsidRPr="00901D22">
        <w:rPr>
          <w:rFonts w:ascii="Times New Roman" w:hAnsi="Times New Roman" w:cs="Times New Roman"/>
          <w:b/>
          <w:sz w:val="20"/>
          <w:szCs w:val="20"/>
        </w:rPr>
        <w:t>Ризик ліквідності</w:t>
      </w:r>
      <w:r w:rsidRPr="00901D22">
        <w:rPr>
          <w:rFonts w:ascii="Times New Roman" w:hAnsi="Times New Roman" w:cs="Times New Roman"/>
          <w:sz w:val="20"/>
          <w:szCs w:val="20"/>
        </w:rPr>
        <w:t xml:space="preserve"> - Ризик ліквідності являє собою ризик того, що </w:t>
      </w:r>
      <w:r w:rsidR="003B4CEF">
        <w:rPr>
          <w:rFonts w:ascii="Times New Roman" w:hAnsi="Times New Roman" w:cs="Times New Roman"/>
          <w:sz w:val="20"/>
          <w:szCs w:val="20"/>
        </w:rPr>
        <w:t>підприємство</w:t>
      </w:r>
      <w:r w:rsidRPr="00901D22">
        <w:rPr>
          <w:rFonts w:ascii="Times New Roman" w:hAnsi="Times New Roman" w:cs="Times New Roman"/>
          <w:sz w:val="20"/>
          <w:szCs w:val="20"/>
        </w:rPr>
        <w:t xml:space="preserve"> не зможе погасити свої зобов'язання на моме</w:t>
      </w:r>
      <w:r w:rsidR="003B4CEF">
        <w:rPr>
          <w:rFonts w:ascii="Times New Roman" w:hAnsi="Times New Roman" w:cs="Times New Roman"/>
          <w:sz w:val="20"/>
          <w:szCs w:val="20"/>
        </w:rPr>
        <w:t>нт їх погашення. Завданням підприємства</w:t>
      </w:r>
      <w:r w:rsidRPr="00901D22">
        <w:rPr>
          <w:rFonts w:ascii="Times New Roman" w:hAnsi="Times New Roman" w:cs="Times New Roman"/>
          <w:sz w:val="20"/>
          <w:szCs w:val="20"/>
        </w:rPr>
        <w:t xml:space="preserve"> є підтримання балансу між безперервним фінансуванням і гнучкістю у використанні умов кредитування, які надаються постачальниками і банками.</w:t>
      </w:r>
    </w:p>
    <w:p w:rsidR="007D5293" w:rsidRDefault="00436F3C" w:rsidP="00D24980">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Підприємство</w:t>
      </w:r>
      <w:r w:rsidR="00D24980" w:rsidRPr="00901D22">
        <w:rPr>
          <w:rFonts w:ascii="Times New Roman" w:hAnsi="Times New Roman" w:cs="Times New Roman"/>
          <w:sz w:val="20"/>
          <w:szCs w:val="20"/>
        </w:rPr>
        <w:t xml:space="preserve"> проводить аналіз строків виникнення активів і погашення зобов'язань і планує свою ліквідність у залежності від очікуваних строків погашення відповідних фінансових інструментів. </w:t>
      </w:r>
      <w:r>
        <w:rPr>
          <w:rFonts w:ascii="Times New Roman" w:hAnsi="Times New Roman" w:cs="Times New Roman"/>
          <w:sz w:val="20"/>
          <w:szCs w:val="20"/>
        </w:rPr>
        <w:t xml:space="preserve">  </w:t>
      </w:r>
    </w:p>
    <w:p w:rsidR="00D24980" w:rsidRPr="00901D22" w:rsidRDefault="00436F3C" w:rsidP="00D24980">
      <w:pPr>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У таблиці нижче викладена </w:t>
      </w:r>
      <w:r w:rsidR="00D24980" w:rsidRPr="00901D22">
        <w:rPr>
          <w:rFonts w:ascii="Times New Roman" w:hAnsi="Times New Roman" w:cs="Times New Roman"/>
          <w:sz w:val="20"/>
          <w:szCs w:val="20"/>
        </w:rPr>
        <w:t xml:space="preserve"> інформація про первісні строки погашення фінансових зобов'язань </w:t>
      </w:r>
      <w:r>
        <w:rPr>
          <w:rFonts w:ascii="Times New Roman" w:hAnsi="Times New Roman" w:cs="Times New Roman"/>
          <w:sz w:val="20"/>
          <w:szCs w:val="20"/>
        </w:rPr>
        <w:t>підприємством</w:t>
      </w:r>
      <w:r w:rsidR="001901ED">
        <w:rPr>
          <w:rFonts w:ascii="Times New Roman" w:hAnsi="Times New Roman" w:cs="Times New Roman"/>
          <w:sz w:val="20"/>
          <w:szCs w:val="20"/>
        </w:rPr>
        <w:t xml:space="preserve"> </w:t>
      </w:r>
      <w:r w:rsidR="00583004">
        <w:rPr>
          <w:rFonts w:ascii="Times New Roman" w:hAnsi="Times New Roman" w:cs="Times New Roman"/>
          <w:sz w:val="20"/>
          <w:szCs w:val="20"/>
        </w:rPr>
        <w:t>станом на 31 грудня 2021</w:t>
      </w:r>
      <w:r w:rsidR="00FD1070">
        <w:rPr>
          <w:rFonts w:ascii="Times New Roman" w:hAnsi="Times New Roman" w:cs="Times New Roman"/>
          <w:sz w:val="20"/>
          <w:szCs w:val="20"/>
          <w:lang w:val="ru-RU"/>
        </w:rPr>
        <w:t xml:space="preserve"> </w:t>
      </w:r>
      <w:r w:rsidR="00583004">
        <w:rPr>
          <w:rFonts w:ascii="Times New Roman" w:hAnsi="Times New Roman" w:cs="Times New Roman"/>
          <w:sz w:val="20"/>
          <w:szCs w:val="20"/>
        </w:rPr>
        <w:t>та 2020</w:t>
      </w:r>
      <w:r w:rsidR="00D24980" w:rsidRPr="00901D22">
        <w:rPr>
          <w:rFonts w:ascii="Times New Roman" w:hAnsi="Times New Roman" w:cs="Times New Roman"/>
          <w:sz w:val="20"/>
          <w:szCs w:val="20"/>
        </w:rPr>
        <w:t xml:space="preserve"> років за договорами на основі недисконтованих платежів: </w:t>
      </w:r>
    </w:p>
    <w:tbl>
      <w:tblPr>
        <w:tblpPr w:leftFromText="180" w:rightFromText="180" w:vertAnchor="text" w:tblpY="1"/>
        <w:tblOverlap w:val="never"/>
        <w:tblW w:w="8786" w:type="dxa"/>
        <w:tblLook w:val="04A0" w:firstRow="1" w:lastRow="0" w:firstColumn="1" w:lastColumn="0" w:noHBand="0" w:noVBand="1"/>
      </w:tblPr>
      <w:tblGrid>
        <w:gridCol w:w="2093"/>
        <w:gridCol w:w="1240"/>
        <w:gridCol w:w="1240"/>
        <w:gridCol w:w="1240"/>
        <w:gridCol w:w="1240"/>
        <w:gridCol w:w="1733"/>
      </w:tblGrid>
      <w:tr w:rsidR="00D24980" w:rsidRPr="00901D22" w:rsidTr="00D06425">
        <w:trPr>
          <w:trHeight w:val="284"/>
        </w:trPr>
        <w:tc>
          <w:tcPr>
            <w:tcW w:w="2093" w:type="dxa"/>
            <w:tcBorders>
              <w:top w:val="nil"/>
              <w:left w:val="nil"/>
              <w:right w:val="nil"/>
            </w:tcBorders>
            <w:shd w:val="clear" w:color="auto" w:fill="auto"/>
            <w:noWrap/>
            <w:vAlign w:val="center"/>
            <w:hideMark/>
          </w:tcPr>
          <w:p w:rsidR="00D24980" w:rsidRPr="00901D22" w:rsidRDefault="00583004" w:rsidP="001901ED">
            <w:pPr>
              <w:spacing w:line="276" w:lineRule="auto"/>
              <w:ind w:right="-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 грудня 2021</w:t>
            </w:r>
            <w:r w:rsidR="00D24980" w:rsidRPr="00901D22">
              <w:rPr>
                <w:rFonts w:ascii="Times New Roman" w:eastAsia="Times New Roman" w:hAnsi="Times New Roman" w:cs="Times New Roman"/>
                <w:b/>
                <w:bCs/>
                <w:sz w:val="20"/>
                <w:szCs w:val="20"/>
                <w:lang w:eastAsia="ru-RU"/>
              </w:rPr>
              <w:t xml:space="preserve"> року</w:t>
            </w:r>
          </w:p>
        </w:tc>
        <w:tc>
          <w:tcPr>
            <w:tcW w:w="1240" w:type="dxa"/>
            <w:tcBorders>
              <w:top w:val="nil"/>
              <w:left w:val="nil"/>
              <w:bottom w:val="single" w:sz="4" w:space="0" w:color="auto"/>
              <w:right w:val="nil"/>
            </w:tcBorders>
            <w:shd w:val="clear" w:color="auto" w:fill="auto"/>
            <w:vAlign w:val="center"/>
            <w:hideMark/>
          </w:tcPr>
          <w:p w:rsidR="00D24980" w:rsidRPr="00901D22" w:rsidRDefault="00D24980" w:rsidP="00D06425">
            <w:pPr>
              <w:spacing w:line="276" w:lineRule="auto"/>
              <w:ind w:right="-1"/>
              <w:jc w:val="center"/>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До 30 днів</w:t>
            </w:r>
          </w:p>
        </w:tc>
        <w:tc>
          <w:tcPr>
            <w:tcW w:w="1240" w:type="dxa"/>
            <w:tcBorders>
              <w:top w:val="nil"/>
              <w:left w:val="nil"/>
              <w:bottom w:val="single" w:sz="4" w:space="0" w:color="auto"/>
              <w:right w:val="nil"/>
            </w:tcBorders>
            <w:shd w:val="clear" w:color="auto" w:fill="auto"/>
            <w:vAlign w:val="center"/>
            <w:hideMark/>
          </w:tcPr>
          <w:p w:rsidR="00D24980" w:rsidRPr="00901D22" w:rsidRDefault="00D24980" w:rsidP="00D06425">
            <w:pPr>
              <w:spacing w:line="276" w:lineRule="auto"/>
              <w:ind w:right="-1"/>
              <w:jc w:val="center"/>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31 - 90 днів</w:t>
            </w:r>
          </w:p>
        </w:tc>
        <w:tc>
          <w:tcPr>
            <w:tcW w:w="1240" w:type="dxa"/>
            <w:tcBorders>
              <w:top w:val="nil"/>
              <w:left w:val="nil"/>
              <w:bottom w:val="single" w:sz="4" w:space="0" w:color="auto"/>
              <w:right w:val="nil"/>
            </w:tcBorders>
            <w:shd w:val="clear" w:color="auto" w:fill="auto"/>
            <w:vAlign w:val="center"/>
            <w:hideMark/>
          </w:tcPr>
          <w:p w:rsidR="00D24980" w:rsidRPr="00901D22" w:rsidRDefault="00D24980" w:rsidP="00D06425">
            <w:pPr>
              <w:spacing w:line="276" w:lineRule="auto"/>
              <w:ind w:right="-1"/>
              <w:jc w:val="center"/>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91 - 180 днів</w:t>
            </w:r>
          </w:p>
        </w:tc>
        <w:tc>
          <w:tcPr>
            <w:tcW w:w="1240" w:type="dxa"/>
            <w:tcBorders>
              <w:top w:val="nil"/>
              <w:left w:val="nil"/>
              <w:bottom w:val="single" w:sz="4" w:space="0" w:color="auto"/>
              <w:right w:val="nil"/>
            </w:tcBorders>
            <w:shd w:val="clear" w:color="auto" w:fill="auto"/>
            <w:vAlign w:val="center"/>
            <w:hideMark/>
          </w:tcPr>
          <w:p w:rsidR="00D24980" w:rsidRPr="00901D22" w:rsidRDefault="00D24980" w:rsidP="00D06425">
            <w:pPr>
              <w:spacing w:line="276" w:lineRule="auto"/>
              <w:ind w:right="-1"/>
              <w:jc w:val="center"/>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181 - 360 днів</w:t>
            </w:r>
          </w:p>
        </w:tc>
        <w:tc>
          <w:tcPr>
            <w:tcW w:w="1733" w:type="dxa"/>
            <w:tcBorders>
              <w:top w:val="nil"/>
              <w:left w:val="nil"/>
              <w:bottom w:val="single" w:sz="4" w:space="0" w:color="auto"/>
              <w:right w:val="nil"/>
            </w:tcBorders>
            <w:shd w:val="clear" w:color="auto" w:fill="auto"/>
            <w:vAlign w:val="center"/>
            <w:hideMark/>
          </w:tcPr>
          <w:p w:rsidR="00D24980" w:rsidRPr="00901D22" w:rsidRDefault="00D24980" w:rsidP="00D06425">
            <w:pPr>
              <w:spacing w:line="276" w:lineRule="auto"/>
              <w:ind w:right="-1"/>
              <w:jc w:val="center"/>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Більше 360 днів</w:t>
            </w:r>
          </w:p>
        </w:tc>
      </w:tr>
      <w:tr w:rsidR="00D24980" w:rsidRPr="00901D22" w:rsidTr="00D06425">
        <w:trPr>
          <w:trHeight w:val="284"/>
        </w:trPr>
        <w:tc>
          <w:tcPr>
            <w:tcW w:w="2093" w:type="dxa"/>
            <w:tcBorders>
              <w:left w:val="nil"/>
              <w:bottom w:val="nil"/>
              <w:right w:val="nil"/>
            </w:tcBorders>
            <w:shd w:val="clear" w:color="auto" w:fill="auto"/>
            <w:noWrap/>
            <w:vAlign w:val="center"/>
            <w:hideMark/>
          </w:tcPr>
          <w:p w:rsidR="00D24980" w:rsidRPr="00901D22" w:rsidRDefault="00D24980" w:rsidP="00D06425">
            <w:pPr>
              <w:spacing w:line="276" w:lineRule="auto"/>
              <w:ind w:right="-1"/>
              <w:jc w:val="center"/>
              <w:rPr>
                <w:rFonts w:ascii="Times New Roman" w:eastAsia="Times New Roman" w:hAnsi="Times New Roman" w:cs="Times New Roman"/>
                <w:sz w:val="20"/>
                <w:szCs w:val="20"/>
                <w:lang w:eastAsia="ru-RU"/>
              </w:rPr>
            </w:pPr>
          </w:p>
        </w:tc>
        <w:tc>
          <w:tcPr>
            <w:tcW w:w="1240" w:type="dxa"/>
            <w:tcBorders>
              <w:top w:val="single" w:sz="4" w:space="0" w:color="auto"/>
              <w:left w:val="nil"/>
              <w:bottom w:val="nil"/>
              <w:right w:val="nil"/>
            </w:tcBorders>
            <w:shd w:val="clear" w:color="auto" w:fill="auto"/>
            <w:noWrap/>
            <w:vAlign w:val="center"/>
            <w:hideMark/>
          </w:tcPr>
          <w:p w:rsidR="00D24980" w:rsidRPr="00901D22" w:rsidRDefault="00D24980" w:rsidP="00D06425">
            <w:pPr>
              <w:spacing w:line="276" w:lineRule="auto"/>
              <w:ind w:right="-1"/>
              <w:jc w:val="center"/>
              <w:rPr>
                <w:rFonts w:ascii="Times New Roman" w:eastAsia="Times New Roman" w:hAnsi="Times New Roman" w:cs="Times New Roman"/>
                <w:sz w:val="20"/>
                <w:szCs w:val="20"/>
                <w:lang w:eastAsia="ru-RU"/>
              </w:rPr>
            </w:pPr>
          </w:p>
        </w:tc>
        <w:tc>
          <w:tcPr>
            <w:tcW w:w="1240" w:type="dxa"/>
            <w:tcBorders>
              <w:top w:val="single" w:sz="4" w:space="0" w:color="auto"/>
              <w:left w:val="nil"/>
              <w:bottom w:val="nil"/>
              <w:right w:val="nil"/>
            </w:tcBorders>
            <w:shd w:val="clear" w:color="auto" w:fill="auto"/>
            <w:noWrap/>
            <w:vAlign w:val="center"/>
            <w:hideMark/>
          </w:tcPr>
          <w:p w:rsidR="00D24980" w:rsidRPr="00901D22" w:rsidRDefault="00D24980" w:rsidP="00D06425">
            <w:pPr>
              <w:spacing w:line="276" w:lineRule="auto"/>
              <w:ind w:right="-1"/>
              <w:jc w:val="center"/>
              <w:rPr>
                <w:rFonts w:ascii="Times New Roman" w:eastAsia="Times New Roman" w:hAnsi="Times New Roman" w:cs="Times New Roman"/>
                <w:sz w:val="20"/>
                <w:szCs w:val="20"/>
                <w:lang w:eastAsia="ru-RU"/>
              </w:rPr>
            </w:pPr>
          </w:p>
        </w:tc>
        <w:tc>
          <w:tcPr>
            <w:tcW w:w="1240" w:type="dxa"/>
            <w:tcBorders>
              <w:top w:val="single" w:sz="4" w:space="0" w:color="auto"/>
              <w:left w:val="nil"/>
              <w:bottom w:val="nil"/>
              <w:right w:val="nil"/>
            </w:tcBorders>
            <w:shd w:val="clear" w:color="auto" w:fill="auto"/>
            <w:noWrap/>
            <w:vAlign w:val="center"/>
            <w:hideMark/>
          </w:tcPr>
          <w:p w:rsidR="00D24980" w:rsidRPr="00901D22" w:rsidRDefault="00D24980" w:rsidP="00D06425">
            <w:pPr>
              <w:spacing w:line="276" w:lineRule="auto"/>
              <w:ind w:right="-1"/>
              <w:jc w:val="center"/>
              <w:rPr>
                <w:rFonts w:ascii="Times New Roman" w:eastAsia="Times New Roman" w:hAnsi="Times New Roman" w:cs="Times New Roman"/>
                <w:sz w:val="20"/>
                <w:szCs w:val="20"/>
                <w:lang w:eastAsia="ru-RU"/>
              </w:rPr>
            </w:pPr>
          </w:p>
        </w:tc>
        <w:tc>
          <w:tcPr>
            <w:tcW w:w="1240" w:type="dxa"/>
            <w:tcBorders>
              <w:top w:val="single" w:sz="4" w:space="0" w:color="auto"/>
              <w:left w:val="nil"/>
              <w:bottom w:val="nil"/>
              <w:right w:val="nil"/>
            </w:tcBorders>
            <w:shd w:val="clear" w:color="auto" w:fill="auto"/>
            <w:noWrap/>
            <w:vAlign w:val="center"/>
            <w:hideMark/>
          </w:tcPr>
          <w:p w:rsidR="00D24980" w:rsidRPr="00901D22" w:rsidRDefault="00D24980" w:rsidP="00D06425">
            <w:pPr>
              <w:spacing w:line="276" w:lineRule="auto"/>
              <w:ind w:right="-1"/>
              <w:jc w:val="center"/>
              <w:rPr>
                <w:rFonts w:ascii="Times New Roman" w:eastAsia="Times New Roman" w:hAnsi="Times New Roman" w:cs="Times New Roman"/>
                <w:sz w:val="20"/>
                <w:szCs w:val="20"/>
                <w:lang w:eastAsia="ru-RU"/>
              </w:rPr>
            </w:pPr>
          </w:p>
        </w:tc>
        <w:tc>
          <w:tcPr>
            <w:tcW w:w="1733" w:type="dxa"/>
            <w:tcBorders>
              <w:top w:val="single" w:sz="4" w:space="0" w:color="auto"/>
              <w:left w:val="nil"/>
              <w:bottom w:val="nil"/>
              <w:right w:val="nil"/>
            </w:tcBorders>
            <w:shd w:val="clear" w:color="auto" w:fill="auto"/>
            <w:noWrap/>
            <w:vAlign w:val="center"/>
            <w:hideMark/>
          </w:tcPr>
          <w:p w:rsidR="00D24980" w:rsidRPr="00901D22" w:rsidRDefault="00D24980" w:rsidP="00D06425">
            <w:pPr>
              <w:spacing w:line="276" w:lineRule="auto"/>
              <w:ind w:right="-1"/>
              <w:jc w:val="center"/>
              <w:rPr>
                <w:rFonts w:ascii="Times New Roman" w:eastAsia="Times New Roman" w:hAnsi="Times New Roman" w:cs="Times New Roman"/>
                <w:sz w:val="20"/>
                <w:szCs w:val="20"/>
                <w:lang w:eastAsia="ru-RU"/>
              </w:rPr>
            </w:pPr>
          </w:p>
        </w:tc>
      </w:tr>
      <w:tr w:rsidR="00D24980" w:rsidRPr="00901D22" w:rsidTr="00D06425">
        <w:trPr>
          <w:trHeight w:val="80"/>
        </w:trPr>
        <w:tc>
          <w:tcPr>
            <w:tcW w:w="2093" w:type="dxa"/>
            <w:tcBorders>
              <w:top w:val="nil"/>
              <w:left w:val="nil"/>
              <w:bottom w:val="nil"/>
              <w:right w:val="nil"/>
            </w:tcBorders>
            <w:shd w:val="clear" w:color="auto" w:fill="auto"/>
            <w:noWrap/>
            <w:vAlign w:val="center"/>
            <w:hideMark/>
          </w:tcPr>
          <w:p w:rsidR="00D24980" w:rsidRPr="00367920" w:rsidRDefault="00D24980" w:rsidP="00FD1070">
            <w:pPr>
              <w:spacing w:line="276" w:lineRule="auto"/>
              <w:ind w:right="-1"/>
              <w:jc w:val="both"/>
              <w:rPr>
                <w:rFonts w:ascii="Times New Roman" w:eastAsia="Times New Roman" w:hAnsi="Times New Roman" w:cs="Times New Roman"/>
                <w:sz w:val="20"/>
                <w:szCs w:val="20"/>
                <w:lang w:val="ru-RU" w:eastAsia="ru-RU"/>
              </w:rPr>
            </w:pPr>
            <w:r w:rsidRPr="00901D22">
              <w:rPr>
                <w:rFonts w:ascii="Times New Roman" w:eastAsia="Times New Roman" w:hAnsi="Times New Roman" w:cs="Times New Roman"/>
                <w:sz w:val="20"/>
                <w:szCs w:val="20"/>
                <w:lang w:eastAsia="ru-RU"/>
              </w:rPr>
              <w:t>Позики</w:t>
            </w:r>
            <w:r>
              <w:rPr>
                <w:rFonts w:ascii="Times New Roman" w:eastAsia="Times New Roman" w:hAnsi="Times New Roman" w:cs="Times New Roman"/>
                <w:sz w:val="20"/>
                <w:szCs w:val="20"/>
                <w:lang w:val="ru-RU" w:eastAsia="ru-RU"/>
              </w:rPr>
              <w:t>*</w:t>
            </w:r>
          </w:p>
        </w:tc>
        <w:tc>
          <w:tcPr>
            <w:tcW w:w="1240" w:type="dxa"/>
            <w:tcBorders>
              <w:top w:val="nil"/>
              <w:left w:val="nil"/>
              <w:bottom w:val="nil"/>
              <w:right w:val="nil"/>
            </w:tcBorders>
            <w:shd w:val="clear" w:color="auto" w:fill="auto"/>
            <w:noWrap/>
            <w:vAlign w:val="center"/>
            <w:hideMark/>
          </w:tcPr>
          <w:p w:rsidR="00D24980" w:rsidRPr="00524FD5" w:rsidRDefault="0043401D" w:rsidP="007D5293">
            <w:pPr>
              <w:spacing w:line="276" w:lineRule="auto"/>
              <w:ind w:right="-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240" w:type="dxa"/>
            <w:tcBorders>
              <w:top w:val="nil"/>
              <w:left w:val="nil"/>
              <w:bottom w:val="nil"/>
              <w:right w:val="nil"/>
            </w:tcBorders>
            <w:shd w:val="clear" w:color="auto" w:fill="auto"/>
            <w:noWrap/>
            <w:vAlign w:val="center"/>
            <w:hideMark/>
          </w:tcPr>
          <w:p w:rsidR="00D24980" w:rsidRPr="00524FD5" w:rsidRDefault="00D24980" w:rsidP="007D5293">
            <w:pPr>
              <w:spacing w:line="276" w:lineRule="auto"/>
              <w:ind w:right="-1"/>
              <w:jc w:val="center"/>
              <w:rPr>
                <w:rFonts w:ascii="Times New Roman" w:eastAsia="Times New Roman" w:hAnsi="Times New Roman" w:cs="Times New Roman"/>
                <w:sz w:val="20"/>
                <w:szCs w:val="20"/>
                <w:lang w:val="en-US" w:eastAsia="ru-RU"/>
              </w:rPr>
            </w:pPr>
          </w:p>
        </w:tc>
        <w:tc>
          <w:tcPr>
            <w:tcW w:w="1240" w:type="dxa"/>
            <w:tcBorders>
              <w:top w:val="nil"/>
              <w:left w:val="nil"/>
              <w:bottom w:val="nil"/>
              <w:right w:val="nil"/>
            </w:tcBorders>
            <w:shd w:val="clear" w:color="auto" w:fill="auto"/>
            <w:noWrap/>
            <w:vAlign w:val="center"/>
            <w:hideMark/>
          </w:tcPr>
          <w:p w:rsidR="00D24980" w:rsidRPr="00DF7B05" w:rsidRDefault="00DF7B05" w:rsidP="007D5293">
            <w:pPr>
              <w:spacing w:line="276" w:lineRule="auto"/>
              <w:ind w:right="-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16 300</w:t>
            </w:r>
          </w:p>
        </w:tc>
        <w:tc>
          <w:tcPr>
            <w:tcW w:w="1240" w:type="dxa"/>
            <w:tcBorders>
              <w:top w:val="nil"/>
              <w:left w:val="nil"/>
              <w:bottom w:val="nil"/>
              <w:right w:val="nil"/>
            </w:tcBorders>
            <w:shd w:val="clear" w:color="auto" w:fill="auto"/>
            <w:noWrap/>
            <w:vAlign w:val="center"/>
            <w:hideMark/>
          </w:tcPr>
          <w:p w:rsidR="00D24980" w:rsidRPr="00524FD5" w:rsidRDefault="00D24980" w:rsidP="007D5293">
            <w:pPr>
              <w:spacing w:line="276" w:lineRule="auto"/>
              <w:ind w:right="-1"/>
              <w:jc w:val="center"/>
              <w:rPr>
                <w:rFonts w:ascii="Times New Roman" w:eastAsia="Times New Roman" w:hAnsi="Times New Roman" w:cs="Times New Roman"/>
                <w:sz w:val="20"/>
                <w:szCs w:val="20"/>
                <w:lang w:val="en-US" w:eastAsia="ru-RU"/>
              </w:rPr>
            </w:pPr>
          </w:p>
        </w:tc>
        <w:tc>
          <w:tcPr>
            <w:tcW w:w="1733" w:type="dxa"/>
            <w:tcBorders>
              <w:top w:val="nil"/>
              <w:left w:val="nil"/>
              <w:bottom w:val="nil"/>
              <w:right w:val="nil"/>
            </w:tcBorders>
            <w:shd w:val="clear" w:color="auto" w:fill="auto"/>
            <w:noWrap/>
            <w:vAlign w:val="center"/>
            <w:hideMark/>
          </w:tcPr>
          <w:p w:rsidR="00D24980" w:rsidRPr="00524FD5" w:rsidRDefault="008C10A8" w:rsidP="007D5293">
            <w:pPr>
              <w:spacing w:line="276" w:lineRule="auto"/>
              <w:ind w:right="-1"/>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30 177</w:t>
            </w:r>
          </w:p>
        </w:tc>
      </w:tr>
      <w:tr w:rsidR="00D24980" w:rsidRPr="00901D22" w:rsidTr="00D06425">
        <w:trPr>
          <w:trHeight w:val="284"/>
        </w:trPr>
        <w:tc>
          <w:tcPr>
            <w:tcW w:w="2093" w:type="dxa"/>
            <w:tcBorders>
              <w:top w:val="nil"/>
              <w:left w:val="nil"/>
              <w:bottom w:val="nil"/>
              <w:right w:val="nil"/>
            </w:tcBorders>
            <w:shd w:val="clear" w:color="auto" w:fill="auto"/>
            <w:vAlign w:val="center"/>
            <w:hideMark/>
          </w:tcPr>
          <w:p w:rsidR="00D24980" w:rsidRPr="00901D22" w:rsidRDefault="0043401D" w:rsidP="00FD1070">
            <w:pPr>
              <w:spacing w:line="276"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Торгова </w:t>
            </w:r>
            <w:r w:rsidR="00D24980" w:rsidRPr="00901D22">
              <w:rPr>
                <w:rFonts w:ascii="Times New Roman" w:eastAsia="Times New Roman" w:hAnsi="Times New Roman" w:cs="Times New Roman"/>
                <w:sz w:val="20"/>
                <w:szCs w:val="20"/>
                <w:lang w:eastAsia="ru-RU"/>
              </w:rPr>
              <w:t xml:space="preserve"> кредиторська заборгованість</w:t>
            </w:r>
          </w:p>
        </w:tc>
        <w:tc>
          <w:tcPr>
            <w:tcW w:w="1240" w:type="dxa"/>
            <w:tcBorders>
              <w:top w:val="nil"/>
              <w:left w:val="nil"/>
              <w:right w:val="nil"/>
            </w:tcBorders>
            <w:shd w:val="clear" w:color="auto" w:fill="auto"/>
            <w:noWrap/>
            <w:vAlign w:val="center"/>
          </w:tcPr>
          <w:p w:rsidR="00D24980" w:rsidRPr="00594C2F" w:rsidRDefault="00D24980" w:rsidP="007D5293">
            <w:pPr>
              <w:spacing w:line="276" w:lineRule="auto"/>
              <w:ind w:right="-1"/>
              <w:jc w:val="center"/>
              <w:rPr>
                <w:rFonts w:ascii="Times New Roman" w:eastAsia="Times New Roman" w:hAnsi="Times New Roman" w:cs="Times New Roman"/>
                <w:sz w:val="20"/>
                <w:szCs w:val="20"/>
                <w:lang w:val="ru-RU" w:eastAsia="ru-RU"/>
              </w:rPr>
            </w:pPr>
          </w:p>
        </w:tc>
        <w:tc>
          <w:tcPr>
            <w:tcW w:w="1240" w:type="dxa"/>
            <w:tcBorders>
              <w:top w:val="nil"/>
              <w:left w:val="nil"/>
              <w:right w:val="nil"/>
            </w:tcBorders>
            <w:shd w:val="clear" w:color="auto" w:fill="auto"/>
            <w:noWrap/>
            <w:vAlign w:val="center"/>
          </w:tcPr>
          <w:p w:rsidR="00D24980" w:rsidRPr="00594C2F" w:rsidRDefault="009B15CB" w:rsidP="007D5293">
            <w:pPr>
              <w:spacing w:line="276" w:lineRule="auto"/>
              <w:ind w:right="-1"/>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19 008</w:t>
            </w:r>
          </w:p>
        </w:tc>
        <w:tc>
          <w:tcPr>
            <w:tcW w:w="1240" w:type="dxa"/>
            <w:tcBorders>
              <w:top w:val="nil"/>
              <w:left w:val="nil"/>
              <w:right w:val="nil"/>
            </w:tcBorders>
            <w:shd w:val="clear" w:color="auto" w:fill="auto"/>
            <w:noWrap/>
            <w:vAlign w:val="center"/>
          </w:tcPr>
          <w:p w:rsidR="00D24980" w:rsidRPr="00594C2F" w:rsidRDefault="00D24980" w:rsidP="007D5293">
            <w:pPr>
              <w:spacing w:line="276" w:lineRule="auto"/>
              <w:ind w:right="-1"/>
              <w:jc w:val="center"/>
              <w:rPr>
                <w:rFonts w:ascii="Times New Roman" w:eastAsia="Times New Roman" w:hAnsi="Times New Roman" w:cs="Times New Roman"/>
                <w:sz w:val="20"/>
                <w:szCs w:val="20"/>
                <w:lang w:val="ru-RU" w:eastAsia="ru-RU"/>
              </w:rPr>
            </w:pPr>
          </w:p>
        </w:tc>
        <w:tc>
          <w:tcPr>
            <w:tcW w:w="1240" w:type="dxa"/>
            <w:tcBorders>
              <w:top w:val="nil"/>
              <w:left w:val="nil"/>
              <w:right w:val="nil"/>
            </w:tcBorders>
            <w:shd w:val="clear" w:color="auto" w:fill="auto"/>
            <w:noWrap/>
            <w:vAlign w:val="center"/>
          </w:tcPr>
          <w:p w:rsidR="00D24980" w:rsidRPr="00594C2F" w:rsidRDefault="0043401D" w:rsidP="007D5293">
            <w:pPr>
              <w:spacing w:line="276" w:lineRule="auto"/>
              <w:ind w:right="-1"/>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w:t>
            </w:r>
          </w:p>
        </w:tc>
        <w:tc>
          <w:tcPr>
            <w:tcW w:w="1733" w:type="dxa"/>
            <w:tcBorders>
              <w:top w:val="nil"/>
              <w:left w:val="nil"/>
              <w:right w:val="nil"/>
            </w:tcBorders>
            <w:shd w:val="clear" w:color="auto" w:fill="auto"/>
            <w:noWrap/>
            <w:vAlign w:val="center"/>
          </w:tcPr>
          <w:p w:rsidR="00D24980" w:rsidRPr="00901D22" w:rsidRDefault="00D24980" w:rsidP="007D5293">
            <w:pPr>
              <w:spacing w:line="276" w:lineRule="auto"/>
              <w:ind w:right="-1"/>
              <w:jc w:val="center"/>
              <w:rPr>
                <w:rFonts w:ascii="Times New Roman" w:eastAsia="Times New Roman" w:hAnsi="Times New Roman" w:cs="Times New Roman"/>
                <w:sz w:val="20"/>
                <w:szCs w:val="20"/>
                <w:lang w:val="en-US" w:eastAsia="ru-RU"/>
              </w:rPr>
            </w:pPr>
            <w:r w:rsidRPr="00901D22">
              <w:rPr>
                <w:rFonts w:ascii="Times New Roman" w:eastAsia="Times New Roman" w:hAnsi="Times New Roman" w:cs="Times New Roman"/>
                <w:sz w:val="20"/>
                <w:szCs w:val="20"/>
                <w:lang w:val="en-US" w:eastAsia="ru-RU"/>
              </w:rPr>
              <w:t>-</w:t>
            </w:r>
          </w:p>
        </w:tc>
      </w:tr>
      <w:tr w:rsidR="00D24980" w:rsidRPr="00901D22" w:rsidTr="00D06425">
        <w:trPr>
          <w:trHeight w:val="284"/>
        </w:trPr>
        <w:tc>
          <w:tcPr>
            <w:tcW w:w="2093" w:type="dxa"/>
            <w:tcBorders>
              <w:top w:val="nil"/>
              <w:left w:val="nil"/>
              <w:bottom w:val="nil"/>
              <w:right w:val="nil"/>
            </w:tcBorders>
            <w:shd w:val="clear" w:color="auto" w:fill="auto"/>
            <w:vAlign w:val="center"/>
          </w:tcPr>
          <w:p w:rsidR="00D24980" w:rsidRPr="00901D22" w:rsidRDefault="00D24980" w:rsidP="00D06425">
            <w:pPr>
              <w:spacing w:line="276" w:lineRule="auto"/>
              <w:ind w:right="-1"/>
              <w:rPr>
                <w:rFonts w:ascii="Times New Roman" w:eastAsia="Times New Roman" w:hAnsi="Times New Roman" w:cs="Times New Roman"/>
                <w:sz w:val="20"/>
                <w:szCs w:val="20"/>
                <w:lang w:eastAsia="ru-RU"/>
              </w:rPr>
            </w:pPr>
          </w:p>
        </w:tc>
        <w:tc>
          <w:tcPr>
            <w:tcW w:w="1240" w:type="dxa"/>
            <w:tcBorders>
              <w:top w:val="nil"/>
              <w:left w:val="nil"/>
              <w:right w:val="nil"/>
            </w:tcBorders>
            <w:shd w:val="clear" w:color="auto" w:fill="auto"/>
            <w:noWrap/>
            <w:vAlign w:val="center"/>
          </w:tcPr>
          <w:p w:rsidR="00D24980" w:rsidRPr="000E65CB" w:rsidRDefault="00D24980" w:rsidP="007D5293">
            <w:pPr>
              <w:spacing w:line="276" w:lineRule="auto"/>
              <w:ind w:right="-1"/>
              <w:jc w:val="center"/>
              <w:rPr>
                <w:rFonts w:ascii="Times New Roman" w:eastAsia="Times New Roman" w:hAnsi="Times New Roman" w:cs="Times New Roman"/>
                <w:sz w:val="20"/>
                <w:szCs w:val="20"/>
                <w:lang w:val="ru-RU" w:eastAsia="ru-RU"/>
              </w:rPr>
            </w:pPr>
          </w:p>
        </w:tc>
        <w:tc>
          <w:tcPr>
            <w:tcW w:w="1240" w:type="dxa"/>
            <w:tcBorders>
              <w:top w:val="nil"/>
              <w:left w:val="nil"/>
              <w:right w:val="nil"/>
            </w:tcBorders>
            <w:shd w:val="clear" w:color="auto" w:fill="auto"/>
            <w:noWrap/>
            <w:vAlign w:val="center"/>
          </w:tcPr>
          <w:p w:rsidR="00D24980" w:rsidRPr="000E65CB" w:rsidRDefault="00D24980" w:rsidP="007D5293">
            <w:pPr>
              <w:spacing w:line="276" w:lineRule="auto"/>
              <w:ind w:right="-1"/>
              <w:jc w:val="center"/>
              <w:rPr>
                <w:rFonts w:ascii="Times New Roman" w:eastAsia="Times New Roman" w:hAnsi="Times New Roman" w:cs="Times New Roman"/>
                <w:sz w:val="20"/>
                <w:szCs w:val="20"/>
                <w:lang w:val="ru-RU" w:eastAsia="ru-RU"/>
              </w:rPr>
            </w:pPr>
          </w:p>
        </w:tc>
        <w:tc>
          <w:tcPr>
            <w:tcW w:w="1240" w:type="dxa"/>
            <w:tcBorders>
              <w:top w:val="nil"/>
              <w:left w:val="nil"/>
              <w:right w:val="nil"/>
            </w:tcBorders>
            <w:shd w:val="clear" w:color="auto" w:fill="auto"/>
            <w:noWrap/>
            <w:vAlign w:val="center"/>
          </w:tcPr>
          <w:p w:rsidR="00D24980" w:rsidRDefault="00D24980" w:rsidP="007D5293">
            <w:pPr>
              <w:spacing w:line="276" w:lineRule="auto"/>
              <w:ind w:right="-1"/>
              <w:jc w:val="center"/>
              <w:rPr>
                <w:rFonts w:ascii="Times New Roman" w:eastAsia="Times New Roman" w:hAnsi="Times New Roman" w:cs="Times New Roman"/>
                <w:sz w:val="20"/>
                <w:szCs w:val="20"/>
                <w:lang w:val="ru-RU" w:eastAsia="ru-RU"/>
              </w:rPr>
            </w:pPr>
          </w:p>
        </w:tc>
        <w:tc>
          <w:tcPr>
            <w:tcW w:w="1240" w:type="dxa"/>
            <w:tcBorders>
              <w:top w:val="nil"/>
              <w:left w:val="nil"/>
              <w:right w:val="nil"/>
            </w:tcBorders>
            <w:shd w:val="clear" w:color="auto" w:fill="auto"/>
            <w:noWrap/>
            <w:vAlign w:val="center"/>
          </w:tcPr>
          <w:p w:rsidR="00D24980" w:rsidRDefault="00D24980" w:rsidP="007D5293">
            <w:pPr>
              <w:spacing w:line="276" w:lineRule="auto"/>
              <w:ind w:right="-1"/>
              <w:jc w:val="center"/>
              <w:rPr>
                <w:rFonts w:ascii="Times New Roman" w:eastAsia="Times New Roman" w:hAnsi="Times New Roman" w:cs="Times New Roman"/>
                <w:sz w:val="20"/>
                <w:szCs w:val="20"/>
                <w:lang w:val="ru-RU" w:eastAsia="ru-RU"/>
              </w:rPr>
            </w:pPr>
          </w:p>
        </w:tc>
        <w:tc>
          <w:tcPr>
            <w:tcW w:w="1733" w:type="dxa"/>
            <w:tcBorders>
              <w:top w:val="nil"/>
              <w:left w:val="nil"/>
              <w:right w:val="nil"/>
            </w:tcBorders>
            <w:shd w:val="clear" w:color="auto" w:fill="auto"/>
            <w:noWrap/>
            <w:vAlign w:val="center"/>
          </w:tcPr>
          <w:p w:rsidR="00D24980" w:rsidRPr="00AA7334" w:rsidRDefault="00D24980" w:rsidP="007D5293">
            <w:pPr>
              <w:spacing w:line="276" w:lineRule="auto"/>
              <w:ind w:right="-1"/>
              <w:jc w:val="center"/>
              <w:rPr>
                <w:rFonts w:ascii="Times New Roman" w:eastAsia="Times New Roman" w:hAnsi="Times New Roman" w:cs="Times New Roman"/>
                <w:sz w:val="20"/>
                <w:szCs w:val="20"/>
                <w:lang w:eastAsia="ru-RU"/>
              </w:rPr>
            </w:pPr>
          </w:p>
        </w:tc>
      </w:tr>
      <w:tr w:rsidR="00D24980" w:rsidRPr="00901D22" w:rsidTr="00D06425">
        <w:trPr>
          <w:trHeight w:val="284"/>
        </w:trPr>
        <w:tc>
          <w:tcPr>
            <w:tcW w:w="2093" w:type="dxa"/>
            <w:tcBorders>
              <w:top w:val="nil"/>
              <w:left w:val="nil"/>
              <w:bottom w:val="nil"/>
              <w:right w:val="nil"/>
            </w:tcBorders>
            <w:shd w:val="clear" w:color="auto" w:fill="auto"/>
            <w:noWrap/>
            <w:vAlign w:val="center"/>
            <w:hideMark/>
          </w:tcPr>
          <w:p w:rsidR="00D24980" w:rsidRPr="00901D22" w:rsidRDefault="00D24980" w:rsidP="00D06425">
            <w:pPr>
              <w:spacing w:line="276" w:lineRule="auto"/>
              <w:ind w:right="-1"/>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Всього</w:t>
            </w:r>
          </w:p>
        </w:tc>
        <w:tc>
          <w:tcPr>
            <w:tcW w:w="1240" w:type="dxa"/>
            <w:tcBorders>
              <w:top w:val="single" w:sz="4" w:space="0" w:color="auto"/>
              <w:left w:val="nil"/>
              <w:bottom w:val="nil"/>
              <w:right w:val="nil"/>
            </w:tcBorders>
            <w:shd w:val="clear" w:color="auto" w:fill="auto"/>
            <w:noWrap/>
            <w:vAlign w:val="center"/>
          </w:tcPr>
          <w:p w:rsidR="00D24980" w:rsidRPr="006B5E7E" w:rsidRDefault="00D24980" w:rsidP="007D5293">
            <w:pPr>
              <w:spacing w:line="276" w:lineRule="auto"/>
              <w:ind w:right="-1"/>
              <w:jc w:val="center"/>
              <w:rPr>
                <w:rFonts w:ascii="Times New Roman" w:eastAsia="Times New Roman" w:hAnsi="Times New Roman" w:cs="Times New Roman"/>
                <w:b/>
                <w:sz w:val="20"/>
                <w:szCs w:val="20"/>
                <w:lang w:val="ru-RU" w:eastAsia="ru-RU"/>
              </w:rPr>
            </w:pPr>
          </w:p>
        </w:tc>
        <w:tc>
          <w:tcPr>
            <w:tcW w:w="1240" w:type="dxa"/>
            <w:tcBorders>
              <w:top w:val="single" w:sz="4" w:space="0" w:color="auto"/>
              <w:left w:val="nil"/>
              <w:bottom w:val="nil"/>
              <w:right w:val="nil"/>
            </w:tcBorders>
            <w:shd w:val="clear" w:color="auto" w:fill="auto"/>
            <w:noWrap/>
            <w:vAlign w:val="center"/>
          </w:tcPr>
          <w:p w:rsidR="00D24980" w:rsidRPr="006B5E7E" w:rsidRDefault="009B15CB" w:rsidP="007D5293">
            <w:pPr>
              <w:spacing w:line="276" w:lineRule="auto"/>
              <w:ind w:right="-1"/>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19 008</w:t>
            </w:r>
          </w:p>
        </w:tc>
        <w:tc>
          <w:tcPr>
            <w:tcW w:w="1240" w:type="dxa"/>
            <w:tcBorders>
              <w:top w:val="single" w:sz="4" w:space="0" w:color="auto"/>
              <w:left w:val="nil"/>
              <w:bottom w:val="nil"/>
              <w:right w:val="nil"/>
            </w:tcBorders>
            <w:shd w:val="clear" w:color="auto" w:fill="auto"/>
            <w:noWrap/>
            <w:vAlign w:val="center"/>
          </w:tcPr>
          <w:p w:rsidR="00D24980" w:rsidRPr="006B5E7E" w:rsidRDefault="00DF7B05" w:rsidP="007D5293">
            <w:pPr>
              <w:spacing w:line="276" w:lineRule="auto"/>
              <w:ind w:right="-1"/>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16 300</w:t>
            </w:r>
          </w:p>
        </w:tc>
        <w:tc>
          <w:tcPr>
            <w:tcW w:w="1240" w:type="dxa"/>
            <w:tcBorders>
              <w:top w:val="single" w:sz="4" w:space="0" w:color="auto"/>
              <w:left w:val="nil"/>
              <w:bottom w:val="nil"/>
              <w:right w:val="nil"/>
            </w:tcBorders>
            <w:shd w:val="clear" w:color="auto" w:fill="auto"/>
            <w:noWrap/>
            <w:vAlign w:val="center"/>
          </w:tcPr>
          <w:p w:rsidR="00D24980" w:rsidRPr="006B5E7E" w:rsidRDefault="00D24980" w:rsidP="007D5293">
            <w:pPr>
              <w:spacing w:line="276" w:lineRule="auto"/>
              <w:ind w:right="-1"/>
              <w:jc w:val="center"/>
              <w:rPr>
                <w:rFonts w:ascii="Times New Roman" w:eastAsia="Times New Roman" w:hAnsi="Times New Roman" w:cs="Times New Roman"/>
                <w:b/>
                <w:sz w:val="20"/>
                <w:szCs w:val="20"/>
                <w:lang w:val="ru-RU" w:eastAsia="ru-RU"/>
              </w:rPr>
            </w:pPr>
          </w:p>
        </w:tc>
        <w:tc>
          <w:tcPr>
            <w:tcW w:w="1733" w:type="dxa"/>
            <w:tcBorders>
              <w:top w:val="single" w:sz="4" w:space="0" w:color="auto"/>
              <w:left w:val="nil"/>
              <w:bottom w:val="nil"/>
              <w:right w:val="nil"/>
            </w:tcBorders>
            <w:shd w:val="clear" w:color="auto" w:fill="auto"/>
            <w:noWrap/>
            <w:vAlign w:val="center"/>
          </w:tcPr>
          <w:p w:rsidR="00D24980" w:rsidRPr="006B5E7E" w:rsidRDefault="00400EF2" w:rsidP="007D5293">
            <w:pPr>
              <w:spacing w:line="276" w:lineRule="auto"/>
              <w:ind w:right="-1"/>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30 177</w:t>
            </w:r>
          </w:p>
        </w:tc>
      </w:tr>
    </w:tbl>
    <w:p w:rsidR="00D24980" w:rsidRPr="00901D22" w:rsidRDefault="00D24980" w:rsidP="00D24980">
      <w:pPr>
        <w:spacing w:line="276" w:lineRule="auto"/>
        <w:ind w:right="-1"/>
        <w:rPr>
          <w:rFonts w:ascii="Times New Roman" w:hAnsi="Times New Roman" w:cs="Times New Roman"/>
          <w:sz w:val="20"/>
          <w:szCs w:val="20"/>
          <w:highlight w:val="yellow"/>
        </w:rPr>
      </w:pPr>
    </w:p>
    <w:p w:rsidR="00D24980" w:rsidRPr="00901D22" w:rsidRDefault="00D24980" w:rsidP="00D24980">
      <w:pPr>
        <w:spacing w:line="276" w:lineRule="auto"/>
        <w:ind w:right="-1"/>
        <w:rPr>
          <w:rFonts w:ascii="Times New Roman" w:hAnsi="Times New Roman" w:cs="Times New Roman"/>
          <w:sz w:val="20"/>
          <w:szCs w:val="20"/>
          <w:highlight w:val="yellow"/>
        </w:rPr>
      </w:pPr>
    </w:p>
    <w:p w:rsidR="00D24980" w:rsidRPr="00901D22" w:rsidRDefault="00D24980" w:rsidP="00D24980">
      <w:pPr>
        <w:spacing w:line="276" w:lineRule="auto"/>
        <w:ind w:right="-1"/>
        <w:rPr>
          <w:rFonts w:ascii="Times New Roman" w:hAnsi="Times New Roman" w:cs="Times New Roman"/>
          <w:sz w:val="20"/>
          <w:szCs w:val="20"/>
          <w:highlight w:val="yellow"/>
        </w:rPr>
      </w:pPr>
    </w:p>
    <w:p w:rsidR="00D24980" w:rsidRPr="00901D22" w:rsidRDefault="00D24980" w:rsidP="00D24980">
      <w:pPr>
        <w:spacing w:line="276" w:lineRule="auto"/>
        <w:ind w:right="-1"/>
        <w:rPr>
          <w:rFonts w:ascii="Times New Roman" w:hAnsi="Times New Roman" w:cs="Times New Roman"/>
          <w:sz w:val="20"/>
          <w:szCs w:val="20"/>
          <w:highlight w:val="yellow"/>
        </w:rPr>
      </w:pPr>
    </w:p>
    <w:p w:rsidR="00D24980" w:rsidRPr="00901D22" w:rsidRDefault="00D24980" w:rsidP="00D24980">
      <w:pPr>
        <w:spacing w:line="276" w:lineRule="auto"/>
        <w:ind w:right="-1"/>
        <w:rPr>
          <w:rFonts w:ascii="Times New Roman" w:hAnsi="Times New Roman" w:cs="Times New Roman"/>
          <w:sz w:val="20"/>
          <w:szCs w:val="20"/>
          <w:highlight w:val="yellow"/>
        </w:rPr>
      </w:pPr>
    </w:p>
    <w:p w:rsidR="00D24980" w:rsidRPr="00901D22" w:rsidRDefault="00D24980" w:rsidP="00D24980">
      <w:pPr>
        <w:spacing w:line="276" w:lineRule="auto"/>
        <w:ind w:right="-1"/>
        <w:rPr>
          <w:rFonts w:ascii="Times New Roman" w:hAnsi="Times New Roman" w:cs="Times New Roman"/>
          <w:sz w:val="20"/>
          <w:szCs w:val="20"/>
          <w:highlight w:val="yellow"/>
        </w:rPr>
      </w:pPr>
    </w:p>
    <w:p w:rsidR="00D24980" w:rsidRPr="00901D22" w:rsidRDefault="00D24980" w:rsidP="00D24980">
      <w:pPr>
        <w:spacing w:line="276" w:lineRule="auto"/>
        <w:ind w:right="-1"/>
        <w:rPr>
          <w:rFonts w:ascii="Times New Roman" w:hAnsi="Times New Roman" w:cs="Times New Roman"/>
          <w:sz w:val="20"/>
          <w:szCs w:val="20"/>
          <w:highlight w:val="yellow"/>
        </w:rPr>
      </w:pPr>
    </w:p>
    <w:p w:rsidR="00D24980" w:rsidRPr="00901D22" w:rsidRDefault="00D24980" w:rsidP="00D24980">
      <w:pPr>
        <w:spacing w:line="276" w:lineRule="auto"/>
        <w:ind w:right="-1"/>
        <w:rPr>
          <w:rFonts w:ascii="Times New Roman" w:hAnsi="Times New Roman" w:cs="Times New Roman"/>
          <w:sz w:val="20"/>
          <w:szCs w:val="20"/>
          <w:highlight w:val="yellow"/>
        </w:rPr>
      </w:pPr>
    </w:p>
    <w:p w:rsidR="00D24980" w:rsidRPr="00901D22" w:rsidRDefault="00D24980" w:rsidP="00D24980">
      <w:pPr>
        <w:spacing w:line="276" w:lineRule="auto"/>
        <w:ind w:right="-1"/>
        <w:rPr>
          <w:rFonts w:ascii="Times New Roman" w:hAnsi="Times New Roman" w:cs="Times New Roman"/>
          <w:sz w:val="20"/>
          <w:szCs w:val="20"/>
          <w:highlight w:val="yellow"/>
        </w:rPr>
      </w:pPr>
    </w:p>
    <w:tbl>
      <w:tblPr>
        <w:tblpPr w:leftFromText="180" w:rightFromText="180" w:vertAnchor="text" w:tblpY="1"/>
        <w:tblOverlap w:val="never"/>
        <w:tblW w:w="8786" w:type="dxa"/>
        <w:tblLook w:val="04A0" w:firstRow="1" w:lastRow="0" w:firstColumn="1" w:lastColumn="0" w:noHBand="0" w:noVBand="1"/>
      </w:tblPr>
      <w:tblGrid>
        <w:gridCol w:w="2093"/>
        <w:gridCol w:w="1240"/>
        <w:gridCol w:w="1240"/>
        <w:gridCol w:w="1240"/>
        <w:gridCol w:w="1240"/>
        <w:gridCol w:w="1733"/>
      </w:tblGrid>
      <w:tr w:rsidR="00D24980" w:rsidRPr="00901D22" w:rsidTr="00D06425">
        <w:trPr>
          <w:trHeight w:val="284"/>
        </w:trPr>
        <w:tc>
          <w:tcPr>
            <w:tcW w:w="2093" w:type="dxa"/>
            <w:tcBorders>
              <w:top w:val="nil"/>
              <w:left w:val="nil"/>
              <w:bottom w:val="nil"/>
              <w:right w:val="nil"/>
            </w:tcBorders>
            <w:shd w:val="clear" w:color="auto" w:fill="auto"/>
            <w:noWrap/>
            <w:vAlign w:val="center"/>
            <w:hideMark/>
          </w:tcPr>
          <w:p w:rsidR="00D24980" w:rsidRPr="00901D22" w:rsidRDefault="00172C0F" w:rsidP="001901ED">
            <w:pPr>
              <w:spacing w:line="276" w:lineRule="auto"/>
              <w:ind w:right="-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 грудня 2020</w:t>
            </w:r>
            <w:r w:rsidR="00D24980" w:rsidRPr="00901D22">
              <w:rPr>
                <w:rFonts w:ascii="Times New Roman" w:eastAsia="Times New Roman" w:hAnsi="Times New Roman" w:cs="Times New Roman"/>
                <w:b/>
                <w:bCs/>
                <w:sz w:val="20"/>
                <w:szCs w:val="20"/>
                <w:lang w:eastAsia="ru-RU"/>
              </w:rPr>
              <w:t xml:space="preserve"> року</w:t>
            </w:r>
          </w:p>
        </w:tc>
        <w:tc>
          <w:tcPr>
            <w:tcW w:w="1240" w:type="dxa"/>
            <w:tcBorders>
              <w:top w:val="nil"/>
              <w:left w:val="nil"/>
              <w:bottom w:val="single" w:sz="4" w:space="0" w:color="auto"/>
              <w:right w:val="nil"/>
            </w:tcBorders>
            <w:shd w:val="clear" w:color="auto" w:fill="auto"/>
            <w:vAlign w:val="center"/>
            <w:hideMark/>
          </w:tcPr>
          <w:p w:rsidR="00D24980" w:rsidRPr="00901D22" w:rsidRDefault="00D24980" w:rsidP="00D06425">
            <w:pPr>
              <w:spacing w:line="276" w:lineRule="auto"/>
              <w:ind w:right="-1"/>
              <w:jc w:val="center"/>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До 30 днів</w:t>
            </w:r>
          </w:p>
        </w:tc>
        <w:tc>
          <w:tcPr>
            <w:tcW w:w="1240" w:type="dxa"/>
            <w:tcBorders>
              <w:top w:val="nil"/>
              <w:left w:val="nil"/>
              <w:bottom w:val="single" w:sz="4" w:space="0" w:color="auto"/>
              <w:right w:val="nil"/>
            </w:tcBorders>
            <w:shd w:val="clear" w:color="auto" w:fill="auto"/>
            <w:vAlign w:val="center"/>
            <w:hideMark/>
          </w:tcPr>
          <w:p w:rsidR="00D24980" w:rsidRPr="00901D22" w:rsidRDefault="00D24980" w:rsidP="00D06425">
            <w:pPr>
              <w:spacing w:line="276" w:lineRule="auto"/>
              <w:ind w:right="-1"/>
              <w:jc w:val="center"/>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31 - 90 днів</w:t>
            </w:r>
          </w:p>
        </w:tc>
        <w:tc>
          <w:tcPr>
            <w:tcW w:w="1240" w:type="dxa"/>
            <w:tcBorders>
              <w:top w:val="nil"/>
              <w:left w:val="nil"/>
              <w:bottom w:val="single" w:sz="4" w:space="0" w:color="auto"/>
              <w:right w:val="nil"/>
            </w:tcBorders>
            <w:shd w:val="clear" w:color="auto" w:fill="auto"/>
            <w:vAlign w:val="center"/>
            <w:hideMark/>
          </w:tcPr>
          <w:p w:rsidR="00D24980" w:rsidRPr="00901D22" w:rsidRDefault="00D24980" w:rsidP="00D06425">
            <w:pPr>
              <w:spacing w:line="276" w:lineRule="auto"/>
              <w:ind w:right="-1"/>
              <w:jc w:val="center"/>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91 - 180 днів</w:t>
            </w:r>
          </w:p>
        </w:tc>
        <w:tc>
          <w:tcPr>
            <w:tcW w:w="1240" w:type="dxa"/>
            <w:tcBorders>
              <w:top w:val="nil"/>
              <w:left w:val="nil"/>
              <w:bottom w:val="single" w:sz="4" w:space="0" w:color="auto"/>
              <w:right w:val="nil"/>
            </w:tcBorders>
            <w:shd w:val="clear" w:color="auto" w:fill="auto"/>
            <w:vAlign w:val="center"/>
            <w:hideMark/>
          </w:tcPr>
          <w:p w:rsidR="00D24980" w:rsidRPr="00901D22" w:rsidRDefault="00D24980" w:rsidP="00D06425">
            <w:pPr>
              <w:spacing w:line="276" w:lineRule="auto"/>
              <w:ind w:right="-1"/>
              <w:jc w:val="center"/>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181 - 360 днів</w:t>
            </w:r>
          </w:p>
        </w:tc>
        <w:tc>
          <w:tcPr>
            <w:tcW w:w="1733" w:type="dxa"/>
            <w:tcBorders>
              <w:top w:val="nil"/>
              <w:left w:val="nil"/>
              <w:bottom w:val="single" w:sz="4" w:space="0" w:color="auto"/>
              <w:right w:val="nil"/>
            </w:tcBorders>
            <w:shd w:val="clear" w:color="auto" w:fill="auto"/>
            <w:vAlign w:val="center"/>
            <w:hideMark/>
          </w:tcPr>
          <w:p w:rsidR="00D24980" w:rsidRPr="00901D22" w:rsidRDefault="00D24980" w:rsidP="00D06425">
            <w:pPr>
              <w:spacing w:line="276" w:lineRule="auto"/>
              <w:ind w:right="-1"/>
              <w:jc w:val="center"/>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Більше 360 днів</w:t>
            </w:r>
          </w:p>
        </w:tc>
      </w:tr>
      <w:tr w:rsidR="00D24980" w:rsidRPr="00901D22" w:rsidTr="00D06425">
        <w:trPr>
          <w:trHeight w:val="177"/>
        </w:trPr>
        <w:tc>
          <w:tcPr>
            <w:tcW w:w="2093" w:type="dxa"/>
            <w:tcBorders>
              <w:top w:val="nil"/>
              <w:left w:val="nil"/>
              <w:bottom w:val="nil"/>
              <w:right w:val="nil"/>
            </w:tcBorders>
            <w:shd w:val="clear" w:color="auto" w:fill="auto"/>
            <w:noWrap/>
            <w:vAlign w:val="center"/>
            <w:hideMark/>
          </w:tcPr>
          <w:p w:rsidR="00D24980" w:rsidRPr="00367920" w:rsidRDefault="00D24980" w:rsidP="00D06425">
            <w:pPr>
              <w:spacing w:line="276" w:lineRule="auto"/>
              <w:ind w:right="-1"/>
              <w:rPr>
                <w:rFonts w:ascii="Times New Roman" w:eastAsia="Times New Roman" w:hAnsi="Times New Roman" w:cs="Times New Roman"/>
                <w:sz w:val="20"/>
                <w:szCs w:val="20"/>
                <w:lang w:val="ru-RU" w:eastAsia="ru-RU"/>
              </w:rPr>
            </w:pPr>
            <w:r w:rsidRPr="00901D22">
              <w:rPr>
                <w:rFonts w:ascii="Times New Roman" w:eastAsia="Times New Roman" w:hAnsi="Times New Roman" w:cs="Times New Roman"/>
                <w:sz w:val="20"/>
                <w:szCs w:val="20"/>
                <w:lang w:eastAsia="ru-RU"/>
              </w:rPr>
              <w:t>Позики</w:t>
            </w:r>
            <w:r>
              <w:rPr>
                <w:rFonts w:ascii="Times New Roman" w:eastAsia="Times New Roman" w:hAnsi="Times New Roman" w:cs="Times New Roman"/>
                <w:sz w:val="20"/>
                <w:szCs w:val="20"/>
                <w:lang w:val="ru-RU" w:eastAsia="ru-RU"/>
              </w:rPr>
              <w:t>*</w:t>
            </w:r>
          </w:p>
        </w:tc>
        <w:tc>
          <w:tcPr>
            <w:tcW w:w="1240" w:type="dxa"/>
            <w:tcBorders>
              <w:top w:val="nil"/>
              <w:left w:val="nil"/>
              <w:bottom w:val="nil"/>
              <w:right w:val="nil"/>
            </w:tcBorders>
            <w:shd w:val="clear" w:color="auto" w:fill="auto"/>
            <w:noWrap/>
            <w:vAlign w:val="center"/>
            <w:hideMark/>
          </w:tcPr>
          <w:p w:rsidR="00D24980" w:rsidRPr="00901D22" w:rsidRDefault="0043401D" w:rsidP="007D5293">
            <w:pPr>
              <w:spacing w:line="276" w:lineRule="auto"/>
              <w:ind w:right="-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0" w:type="dxa"/>
            <w:tcBorders>
              <w:top w:val="nil"/>
              <w:left w:val="nil"/>
              <w:bottom w:val="nil"/>
              <w:right w:val="nil"/>
            </w:tcBorders>
            <w:shd w:val="clear" w:color="auto" w:fill="auto"/>
            <w:noWrap/>
            <w:vAlign w:val="center"/>
            <w:hideMark/>
          </w:tcPr>
          <w:p w:rsidR="00D24980" w:rsidRPr="00901D22" w:rsidRDefault="00A73FA5" w:rsidP="007D5293">
            <w:pPr>
              <w:spacing w:line="276" w:lineRule="auto"/>
              <w:ind w:right="-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40" w:type="dxa"/>
            <w:tcBorders>
              <w:top w:val="nil"/>
              <w:left w:val="nil"/>
              <w:bottom w:val="nil"/>
              <w:right w:val="nil"/>
            </w:tcBorders>
            <w:shd w:val="clear" w:color="auto" w:fill="auto"/>
            <w:noWrap/>
            <w:vAlign w:val="center"/>
            <w:hideMark/>
          </w:tcPr>
          <w:p w:rsidR="00D24980" w:rsidRPr="00A73FA5" w:rsidRDefault="00172C0F" w:rsidP="00A73FA5">
            <w:pPr>
              <w:spacing w:line="276"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240" w:type="dxa"/>
            <w:tcBorders>
              <w:top w:val="nil"/>
              <w:left w:val="nil"/>
              <w:bottom w:val="nil"/>
              <w:right w:val="nil"/>
            </w:tcBorders>
            <w:shd w:val="clear" w:color="auto" w:fill="auto"/>
            <w:noWrap/>
            <w:vAlign w:val="center"/>
            <w:hideMark/>
          </w:tcPr>
          <w:p w:rsidR="00D24980" w:rsidRPr="00901D22" w:rsidRDefault="00172C0F" w:rsidP="007D5293">
            <w:pPr>
              <w:spacing w:line="276" w:lineRule="auto"/>
              <w:ind w:right="-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3 900</w:t>
            </w:r>
          </w:p>
        </w:tc>
        <w:tc>
          <w:tcPr>
            <w:tcW w:w="1733" w:type="dxa"/>
            <w:tcBorders>
              <w:top w:val="nil"/>
              <w:left w:val="nil"/>
              <w:bottom w:val="nil"/>
              <w:right w:val="nil"/>
            </w:tcBorders>
            <w:shd w:val="clear" w:color="auto" w:fill="auto"/>
            <w:noWrap/>
            <w:vAlign w:val="center"/>
            <w:hideMark/>
          </w:tcPr>
          <w:p w:rsidR="00D24980" w:rsidRPr="000B5AD5" w:rsidRDefault="00172C0F" w:rsidP="007D5293">
            <w:pPr>
              <w:spacing w:line="276" w:lineRule="auto"/>
              <w:ind w:right="-1"/>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31 280</w:t>
            </w:r>
          </w:p>
        </w:tc>
      </w:tr>
      <w:tr w:rsidR="00D24980" w:rsidRPr="00901D22" w:rsidTr="00D06425">
        <w:trPr>
          <w:trHeight w:val="284"/>
        </w:trPr>
        <w:tc>
          <w:tcPr>
            <w:tcW w:w="2093" w:type="dxa"/>
            <w:tcBorders>
              <w:top w:val="nil"/>
              <w:left w:val="nil"/>
              <w:right w:val="nil"/>
            </w:tcBorders>
            <w:shd w:val="clear" w:color="auto" w:fill="auto"/>
            <w:vAlign w:val="center"/>
            <w:hideMark/>
          </w:tcPr>
          <w:p w:rsidR="00D24980" w:rsidRPr="00901D22" w:rsidRDefault="0043401D" w:rsidP="00D06425">
            <w:pPr>
              <w:spacing w:line="276"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Торгова </w:t>
            </w:r>
            <w:r w:rsidR="00D24980" w:rsidRPr="00901D22">
              <w:rPr>
                <w:rFonts w:ascii="Times New Roman" w:eastAsia="Times New Roman" w:hAnsi="Times New Roman" w:cs="Times New Roman"/>
                <w:sz w:val="20"/>
                <w:szCs w:val="20"/>
                <w:lang w:eastAsia="ru-RU"/>
              </w:rPr>
              <w:t>кредиторська заборгованість</w:t>
            </w:r>
          </w:p>
        </w:tc>
        <w:tc>
          <w:tcPr>
            <w:tcW w:w="1240" w:type="dxa"/>
            <w:tcBorders>
              <w:top w:val="nil"/>
              <w:left w:val="nil"/>
              <w:right w:val="nil"/>
            </w:tcBorders>
            <w:shd w:val="clear" w:color="auto" w:fill="auto"/>
            <w:noWrap/>
            <w:vAlign w:val="center"/>
          </w:tcPr>
          <w:p w:rsidR="00D24980" w:rsidRPr="00901D22" w:rsidRDefault="00172C0F" w:rsidP="007D5293">
            <w:pPr>
              <w:spacing w:line="276" w:lineRule="auto"/>
              <w:ind w:right="-1"/>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5 599</w:t>
            </w:r>
          </w:p>
        </w:tc>
        <w:tc>
          <w:tcPr>
            <w:tcW w:w="1240" w:type="dxa"/>
            <w:tcBorders>
              <w:top w:val="nil"/>
              <w:left w:val="nil"/>
              <w:right w:val="nil"/>
            </w:tcBorders>
            <w:shd w:val="clear" w:color="auto" w:fill="auto"/>
            <w:noWrap/>
            <w:vAlign w:val="center"/>
          </w:tcPr>
          <w:p w:rsidR="00D24980" w:rsidRPr="00901D22" w:rsidRDefault="00D24980" w:rsidP="007D5293">
            <w:pPr>
              <w:spacing w:line="276" w:lineRule="auto"/>
              <w:ind w:right="-1"/>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3</w:t>
            </w:r>
            <w:r w:rsidRPr="00901D22">
              <w:rPr>
                <w:rFonts w:ascii="Times New Roman" w:eastAsia="Times New Roman" w:hAnsi="Times New Roman" w:cs="Times New Roman"/>
                <w:sz w:val="20"/>
                <w:szCs w:val="20"/>
                <w:lang w:val="ru-RU" w:eastAsia="ru-RU"/>
              </w:rPr>
              <w:t xml:space="preserve"> </w:t>
            </w:r>
            <w:r w:rsidR="00172C0F">
              <w:rPr>
                <w:rFonts w:ascii="Times New Roman" w:eastAsia="Times New Roman" w:hAnsi="Times New Roman" w:cs="Times New Roman"/>
                <w:sz w:val="20"/>
                <w:szCs w:val="20"/>
                <w:lang w:val="ru-RU" w:eastAsia="ru-RU"/>
              </w:rPr>
              <w:t>723</w:t>
            </w:r>
          </w:p>
        </w:tc>
        <w:tc>
          <w:tcPr>
            <w:tcW w:w="1240" w:type="dxa"/>
            <w:tcBorders>
              <w:top w:val="nil"/>
              <w:left w:val="nil"/>
              <w:right w:val="nil"/>
            </w:tcBorders>
            <w:shd w:val="clear" w:color="auto" w:fill="auto"/>
            <w:noWrap/>
            <w:vAlign w:val="center"/>
          </w:tcPr>
          <w:p w:rsidR="00D24980" w:rsidRPr="00901D22" w:rsidRDefault="00172C0F" w:rsidP="007D5293">
            <w:pPr>
              <w:spacing w:line="276" w:lineRule="auto"/>
              <w:ind w:right="-1"/>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9 341</w:t>
            </w:r>
          </w:p>
        </w:tc>
        <w:tc>
          <w:tcPr>
            <w:tcW w:w="1240" w:type="dxa"/>
            <w:tcBorders>
              <w:top w:val="nil"/>
              <w:left w:val="nil"/>
              <w:right w:val="nil"/>
            </w:tcBorders>
            <w:shd w:val="clear" w:color="auto" w:fill="auto"/>
            <w:noWrap/>
            <w:vAlign w:val="center"/>
          </w:tcPr>
          <w:p w:rsidR="00D24980" w:rsidRPr="00901D22" w:rsidRDefault="0043401D" w:rsidP="007D5293">
            <w:pPr>
              <w:spacing w:line="276" w:lineRule="auto"/>
              <w:ind w:right="-1"/>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w:t>
            </w:r>
          </w:p>
        </w:tc>
        <w:tc>
          <w:tcPr>
            <w:tcW w:w="1733" w:type="dxa"/>
            <w:tcBorders>
              <w:top w:val="nil"/>
              <w:left w:val="nil"/>
              <w:right w:val="nil"/>
            </w:tcBorders>
            <w:shd w:val="clear" w:color="auto" w:fill="auto"/>
            <w:noWrap/>
            <w:vAlign w:val="center"/>
          </w:tcPr>
          <w:p w:rsidR="00D24980" w:rsidRPr="00901D22" w:rsidRDefault="00D24980" w:rsidP="007D5293">
            <w:pPr>
              <w:spacing w:line="276" w:lineRule="auto"/>
              <w:ind w:right="-1"/>
              <w:jc w:val="center"/>
              <w:rPr>
                <w:rFonts w:ascii="Times New Roman" w:eastAsia="Times New Roman" w:hAnsi="Times New Roman" w:cs="Times New Roman"/>
                <w:sz w:val="20"/>
                <w:szCs w:val="20"/>
                <w:lang w:val="en-US" w:eastAsia="ru-RU"/>
              </w:rPr>
            </w:pPr>
            <w:r w:rsidRPr="00901D22">
              <w:rPr>
                <w:rFonts w:ascii="Times New Roman" w:eastAsia="Times New Roman" w:hAnsi="Times New Roman" w:cs="Times New Roman"/>
                <w:sz w:val="20"/>
                <w:szCs w:val="20"/>
                <w:lang w:val="en-US" w:eastAsia="ru-RU"/>
              </w:rPr>
              <w:t>-</w:t>
            </w:r>
          </w:p>
        </w:tc>
      </w:tr>
      <w:tr w:rsidR="00D24980" w:rsidRPr="00901D22" w:rsidTr="00D06425">
        <w:trPr>
          <w:trHeight w:val="284"/>
        </w:trPr>
        <w:tc>
          <w:tcPr>
            <w:tcW w:w="2093" w:type="dxa"/>
            <w:tcBorders>
              <w:top w:val="nil"/>
              <w:left w:val="nil"/>
              <w:right w:val="nil"/>
            </w:tcBorders>
            <w:shd w:val="clear" w:color="auto" w:fill="auto"/>
            <w:vAlign w:val="center"/>
          </w:tcPr>
          <w:p w:rsidR="00D24980" w:rsidRPr="00901D22" w:rsidRDefault="00D24980" w:rsidP="00D06425">
            <w:pPr>
              <w:spacing w:line="276" w:lineRule="auto"/>
              <w:ind w:right="-1"/>
              <w:rPr>
                <w:rFonts w:ascii="Times New Roman" w:eastAsia="Times New Roman" w:hAnsi="Times New Roman" w:cs="Times New Roman"/>
                <w:sz w:val="20"/>
                <w:szCs w:val="20"/>
                <w:lang w:eastAsia="ru-RU"/>
              </w:rPr>
            </w:pPr>
          </w:p>
        </w:tc>
        <w:tc>
          <w:tcPr>
            <w:tcW w:w="1240" w:type="dxa"/>
            <w:tcBorders>
              <w:top w:val="nil"/>
              <w:left w:val="nil"/>
              <w:right w:val="nil"/>
            </w:tcBorders>
            <w:shd w:val="clear" w:color="auto" w:fill="auto"/>
            <w:noWrap/>
            <w:vAlign w:val="center"/>
          </w:tcPr>
          <w:p w:rsidR="00D24980" w:rsidRPr="00901D22" w:rsidRDefault="00D24980" w:rsidP="007D5293">
            <w:pPr>
              <w:spacing w:line="276" w:lineRule="auto"/>
              <w:ind w:right="-1"/>
              <w:jc w:val="center"/>
              <w:rPr>
                <w:rFonts w:ascii="Times New Roman" w:eastAsia="Times New Roman" w:hAnsi="Times New Roman" w:cs="Times New Roman"/>
                <w:sz w:val="20"/>
                <w:szCs w:val="20"/>
                <w:lang w:eastAsia="ru-RU"/>
              </w:rPr>
            </w:pPr>
          </w:p>
        </w:tc>
        <w:tc>
          <w:tcPr>
            <w:tcW w:w="1240" w:type="dxa"/>
            <w:tcBorders>
              <w:top w:val="nil"/>
              <w:left w:val="nil"/>
              <w:right w:val="nil"/>
            </w:tcBorders>
            <w:shd w:val="clear" w:color="auto" w:fill="auto"/>
            <w:noWrap/>
            <w:vAlign w:val="center"/>
          </w:tcPr>
          <w:p w:rsidR="00D24980" w:rsidRDefault="00D24980" w:rsidP="007D5293">
            <w:pPr>
              <w:spacing w:line="276" w:lineRule="auto"/>
              <w:ind w:right="-1"/>
              <w:jc w:val="center"/>
              <w:rPr>
                <w:rFonts w:ascii="Times New Roman" w:eastAsia="Times New Roman" w:hAnsi="Times New Roman" w:cs="Times New Roman"/>
                <w:sz w:val="20"/>
                <w:szCs w:val="20"/>
                <w:lang w:val="ru-RU" w:eastAsia="ru-RU"/>
              </w:rPr>
            </w:pPr>
          </w:p>
        </w:tc>
        <w:tc>
          <w:tcPr>
            <w:tcW w:w="1240" w:type="dxa"/>
            <w:tcBorders>
              <w:top w:val="nil"/>
              <w:left w:val="nil"/>
              <w:right w:val="nil"/>
            </w:tcBorders>
            <w:shd w:val="clear" w:color="auto" w:fill="auto"/>
            <w:noWrap/>
            <w:vAlign w:val="center"/>
          </w:tcPr>
          <w:p w:rsidR="00D24980" w:rsidRDefault="00D24980" w:rsidP="007D5293">
            <w:pPr>
              <w:spacing w:line="276" w:lineRule="auto"/>
              <w:ind w:right="-1"/>
              <w:jc w:val="center"/>
              <w:rPr>
                <w:rFonts w:ascii="Times New Roman" w:eastAsia="Times New Roman" w:hAnsi="Times New Roman" w:cs="Times New Roman"/>
                <w:sz w:val="20"/>
                <w:szCs w:val="20"/>
                <w:lang w:val="ru-RU" w:eastAsia="ru-RU"/>
              </w:rPr>
            </w:pPr>
          </w:p>
        </w:tc>
        <w:tc>
          <w:tcPr>
            <w:tcW w:w="1240" w:type="dxa"/>
            <w:tcBorders>
              <w:top w:val="nil"/>
              <w:left w:val="nil"/>
              <w:right w:val="nil"/>
            </w:tcBorders>
            <w:shd w:val="clear" w:color="auto" w:fill="auto"/>
            <w:noWrap/>
            <w:vAlign w:val="center"/>
          </w:tcPr>
          <w:p w:rsidR="00D24980" w:rsidRDefault="00D24980" w:rsidP="007D5293">
            <w:pPr>
              <w:spacing w:line="276" w:lineRule="auto"/>
              <w:ind w:right="-1"/>
              <w:jc w:val="center"/>
              <w:rPr>
                <w:rFonts w:ascii="Times New Roman" w:eastAsia="Times New Roman" w:hAnsi="Times New Roman" w:cs="Times New Roman"/>
                <w:sz w:val="20"/>
                <w:szCs w:val="20"/>
                <w:lang w:val="ru-RU" w:eastAsia="ru-RU"/>
              </w:rPr>
            </w:pPr>
          </w:p>
        </w:tc>
        <w:tc>
          <w:tcPr>
            <w:tcW w:w="1733" w:type="dxa"/>
            <w:tcBorders>
              <w:top w:val="nil"/>
              <w:left w:val="nil"/>
              <w:right w:val="nil"/>
            </w:tcBorders>
            <w:shd w:val="clear" w:color="auto" w:fill="auto"/>
            <w:noWrap/>
            <w:vAlign w:val="center"/>
          </w:tcPr>
          <w:p w:rsidR="00D24980" w:rsidRPr="00AA7334" w:rsidRDefault="00D24980" w:rsidP="007D5293">
            <w:pPr>
              <w:spacing w:line="276" w:lineRule="auto"/>
              <w:ind w:right="-1"/>
              <w:jc w:val="center"/>
              <w:rPr>
                <w:rFonts w:ascii="Times New Roman" w:eastAsia="Times New Roman" w:hAnsi="Times New Roman" w:cs="Times New Roman"/>
                <w:sz w:val="20"/>
                <w:szCs w:val="20"/>
                <w:lang w:eastAsia="ru-RU"/>
              </w:rPr>
            </w:pPr>
          </w:p>
        </w:tc>
      </w:tr>
      <w:tr w:rsidR="00D24980" w:rsidRPr="00901D22" w:rsidTr="00D06425">
        <w:trPr>
          <w:trHeight w:val="284"/>
        </w:trPr>
        <w:tc>
          <w:tcPr>
            <w:tcW w:w="2093" w:type="dxa"/>
            <w:tcBorders>
              <w:left w:val="nil"/>
              <w:bottom w:val="nil"/>
              <w:right w:val="nil"/>
            </w:tcBorders>
            <w:shd w:val="clear" w:color="auto" w:fill="auto"/>
            <w:noWrap/>
            <w:vAlign w:val="center"/>
            <w:hideMark/>
          </w:tcPr>
          <w:p w:rsidR="00D24980" w:rsidRPr="00901D22" w:rsidRDefault="00D24980" w:rsidP="00D06425">
            <w:pPr>
              <w:spacing w:line="276" w:lineRule="auto"/>
              <w:ind w:right="-1"/>
              <w:rPr>
                <w:rFonts w:ascii="Times New Roman" w:eastAsia="Times New Roman" w:hAnsi="Times New Roman" w:cs="Times New Roman"/>
                <w:b/>
                <w:sz w:val="20"/>
                <w:szCs w:val="20"/>
                <w:lang w:eastAsia="ru-RU"/>
              </w:rPr>
            </w:pPr>
            <w:r w:rsidRPr="00901D22">
              <w:rPr>
                <w:rFonts w:ascii="Times New Roman" w:eastAsia="Times New Roman" w:hAnsi="Times New Roman" w:cs="Times New Roman"/>
                <w:b/>
                <w:sz w:val="20"/>
                <w:szCs w:val="20"/>
                <w:lang w:eastAsia="ru-RU"/>
              </w:rPr>
              <w:t>Всього</w:t>
            </w:r>
          </w:p>
        </w:tc>
        <w:tc>
          <w:tcPr>
            <w:tcW w:w="1240" w:type="dxa"/>
            <w:tcBorders>
              <w:top w:val="single" w:sz="4" w:space="0" w:color="auto"/>
              <w:left w:val="nil"/>
              <w:bottom w:val="nil"/>
              <w:right w:val="nil"/>
            </w:tcBorders>
            <w:shd w:val="clear" w:color="auto" w:fill="auto"/>
            <w:noWrap/>
            <w:vAlign w:val="center"/>
          </w:tcPr>
          <w:p w:rsidR="00D24980" w:rsidRPr="00E63B18" w:rsidRDefault="00172C0F" w:rsidP="007D5293">
            <w:pPr>
              <w:spacing w:line="276" w:lineRule="auto"/>
              <w:ind w:right="-1"/>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5 599</w:t>
            </w:r>
          </w:p>
        </w:tc>
        <w:tc>
          <w:tcPr>
            <w:tcW w:w="1240" w:type="dxa"/>
            <w:tcBorders>
              <w:top w:val="single" w:sz="4" w:space="0" w:color="auto"/>
              <w:left w:val="nil"/>
              <w:bottom w:val="nil"/>
              <w:right w:val="nil"/>
            </w:tcBorders>
            <w:shd w:val="clear" w:color="auto" w:fill="auto"/>
            <w:noWrap/>
            <w:vAlign w:val="center"/>
          </w:tcPr>
          <w:p w:rsidR="00D24980" w:rsidRPr="00901D22" w:rsidRDefault="00172C0F" w:rsidP="007D5293">
            <w:pPr>
              <w:spacing w:line="276" w:lineRule="auto"/>
              <w:ind w:right="-1"/>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3 723</w:t>
            </w:r>
          </w:p>
        </w:tc>
        <w:tc>
          <w:tcPr>
            <w:tcW w:w="1240" w:type="dxa"/>
            <w:tcBorders>
              <w:top w:val="single" w:sz="4" w:space="0" w:color="auto"/>
              <w:left w:val="nil"/>
              <w:bottom w:val="nil"/>
              <w:right w:val="nil"/>
            </w:tcBorders>
            <w:shd w:val="clear" w:color="auto" w:fill="auto"/>
            <w:noWrap/>
            <w:vAlign w:val="center"/>
          </w:tcPr>
          <w:p w:rsidR="00D24980" w:rsidRPr="00901D22" w:rsidRDefault="00172C0F" w:rsidP="007D5293">
            <w:pPr>
              <w:spacing w:line="276" w:lineRule="auto"/>
              <w:ind w:right="-1"/>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9 331</w:t>
            </w:r>
          </w:p>
        </w:tc>
        <w:tc>
          <w:tcPr>
            <w:tcW w:w="1240" w:type="dxa"/>
            <w:tcBorders>
              <w:top w:val="single" w:sz="4" w:space="0" w:color="auto"/>
              <w:left w:val="nil"/>
              <w:bottom w:val="nil"/>
              <w:right w:val="nil"/>
            </w:tcBorders>
            <w:shd w:val="clear" w:color="auto" w:fill="auto"/>
            <w:noWrap/>
            <w:vAlign w:val="center"/>
          </w:tcPr>
          <w:p w:rsidR="00D24980" w:rsidRPr="00901D22" w:rsidRDefault="00172C0F" w:rsidP="007D5293">
            <w:pPr>
              <w:spacing w:line="276" w:lineRule="auto"/>
              <w:ind w:right="-1"/>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3 900</w:t>
            </w:r>
          </w:p>
        </w:tc>
        <w:tc>
          <w:tcPr>
            <w:tcW w:w="1733" w:type="dxa"/>
            <w:tcBorders>
              <w:top w:val="single" w:sz="4" w:space="0" w:color="auto"/>
              <w:left w:val="nil"/>
              <w:bottom w:val="nil"/>
              <w:right w:val="nil"/>
            </w:tcBorders>
            <w:shd w:val="clear" w:color="auto" w:fill="auto"/>
            <w:noWrap/>
            <w:vAlign w:val="center"/>
          </w:tcPr>
          <w:p w:rsidR="00D24980" w:rsidRPr="00901D22" w:rsidRDefault="00172C0F" w:rsidP="007D5293">
            <w:pPr>
              <w:spacing w:line="276" w:lineRule="auto"/>
              <w:ind w:right="-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31 280</w:t>
            </w:r>
          </w:p>
        </w:tc>
      </w:tr>
    </w:tbl>
    <w:p w:rsidR="00D24980" w:rsidRDefault="00D24980" w:rsidP="00D24980">
      <w:pPr>
        <w:tabs>
          <w:tab w:val="left" w:pos="284"/>
        </w:tabs>
        <w:spacing w:before="120" w:line="276" w:lineRule="auto"/>
        <w:jc w:val="both"/>
        <w:rPr>
          <w:rFonts w:ascii="Times New Roman" w:hAnsi="Times New Roman" w:cs="Times New Roman"/>
          <w:b/>
          <w:sz w:val="20"/>
          <w:szCs w:val="20"/>
        </w:rPr>
      </w:pPr>
    </w:p>
    <w:p w:rsidR="005D453B" w:rsidRDefault="005D453B" w:rsidP="00D24980">
      <w:pPr>
        <w:jc w:val="both"/>
        <w:rPr>
          <w:rFonts w:ascii="Times New Roman" w:hAnsi="Times New Roman" w:cs="Times New Roman"/>
          <w:sz w:val="20"/>
          <w:szCs w:val="20"/>
        </w:rPr>
      </w:pPr>
    </w:p>
    <w:p w:rsidR="00D24980" w:rsidRPr="00367920" w:rsidRDefault="00D24980" w:rsidP="00D24980">
      <w:pPr>
        <w:jc w:val="both"/>
        <w:rPr>
          <w:rFonts w:ascii="Times New Roman" w:eastAsiaTheme="minorHAnsi" w:hAnsi="Times New Roman" w:cs="Times New Roman"/>
          <w:color w:val="auto"/>
          <w:sz w:val="20"/>
          <w:szCs w:val="20"/>
          <w:lang w:eastAsia="ru-RU"/>
        </w:rPr>
      </w:pPr>
      <w:r w:rsidRPr="00367920">
        <w:rPr>
          <w:rFonts w:ascii="Times New Roman" w:hAnsi="Times New Roman" w:cs="Times New Roman"/>
          <w:sz w:val="20"/>
          <w:szCs w:val="20"/>
        </w:rPr>
        <w:t>*суми не враховують нараховані відсотки за користування кредитними лініями, так як кредитні лінії є короткостроковими та мають швидку оборотність</w:t>
      </w:r>
    </w:p>
    <w:p w:rsidR="00D24980" w:rsidRPr="000A7203" w:rsidRDefault="00D24980" w:rsidP="00D24980">
      <w:pPr>
        <w:spacing w:before="120" w:line="276" w:lineRule="auto"/>
        <w:jc w:val="both"/>
        <w:rPr>
          <w:rFonts w:ascii="Times New Roman" w:hAnsi="Times New Roman" w:cs="Times New Roman"/>
          <w:sz w:val="20"/>
          <w:szCs w:val="20"/>
        </w:rPr>
      </w:pPr>
      <w:r w:rsidRPr="00901D22">
        <w:rPr>
          <w:rFonts w:ascii="Times New Roman" w:hAnsi="Times New Roman" w:cs="Times New Roman"/>
          <w:b/>
          <w:sz w:val="20"/>
          <w:szCs w:val="20"/>
        </w:rPr>
        <w:t>Кредитний ризик</w:t>
      </w:r>
      <w:r w:rsidRPr="00901D22">
        <w:rPr>
          <w:rFonts w:ascii="Times New Roman" w:hAnsi="Times New Roman" w:cs="Times New Roman"/>
          <w:sz w:val="20"/>
          <w:szCs w:val="20"/>
        </w:rPr>
        <w:t xml:space="preserve"> - Кредитний ризик являє собою ризик того, що </w:t>
      </w:r>
      <w:r w:rsidR="0043401D">
        <w:rPr>
          <w:rFonts w:ascii="Times New Roman" w:hAnsi="Times New Roman" w:cs="Times New Roman"/>
          <w:sz w:val="20"/>
          <w:szCs w:val="20"/>
        </w:rPr>
        <w:t>підприємство</w:t>
      </w:r>
      <w:r w:rsidRPr="00901D22">
        <w:rPr>
          <w:rFonts w:ascii="Times New Roman" w:hAnsi="Times New Roman" w:cs="Times New Roman"/>
          <w:sz w:val="20"/>
          <w:szCs w:val="20"/>
        </w:rPr>
        <w:t xml:space="preserve"> понесе фінансові збитки у випадку, якщо контрагенти не виконають свої зобов'язання за фінансовим інструментом або клієнтським договором. Фінансові інструменти, які потенційно</w:t>
      </w:r>
      <w:r w:rsidR="000A7203">
        <w:rPr>
          <w:rFonts w:ascii="Times New Roman" w:hAnsi="Times New Roman" w:cs="Times New Roman"/>
          <w:sz w:val="20"/>
          <w:szCs w:val="20"/>
        </w:rPr>
        <w:t xml:space="preserve"> наражають підприємство</w:t>
      </w:r>
      <w:r w:rsidRPr="00901D22">
        <w:rPr>
          <w:rFonts w:ascii="Times New Roman" w:hAnsi="Times New Roman" w:cs="Times New Roman"/>
          <w:sz w:val="20"/>
          <w:szCs w:val="20"/>
        </w:rPr>
        <w:t xml:space="preserve"> на істотну концентрацію кредитного ризику, переважно включають грошові кошти та їх еквіваленти, а також торгову дебіторську заборгованість. </w:t>
      </w:r>
    </w:p>
    <w:p w:rsidR="00D24980" w:rsidRPr="00FD1070" w:rsidRDefault="00D24980" w:rsidP="00D24980">
      <w:pPr>
        <w:pStyle w:val="a3"/>
        <w:spacing w:before="0" w:line="240" w:lineRule="auto"/>
        <w:jc w:val="both"/>
        <w:rPr>
          <w:rStyle w:val="a5"/>
          <w:rFonts w:ascii="Times New Roman" w:hAnsi="Times New Roman" w:cs="Times New Roman"/>
          <w:b w:val="0"/>
          <w:bCs w:val="0"/>
          <w:i w:val="0"/>
          <w:iCs w:val="0"/>
          <w:lang w:eastAsia="uk-UA"/>
        </w:rPr>
      </w:pPr>
      <w:r w:rsidRPr="00FD1070">
        <w:rPr>
          <w:rStyle w:val="a5"/>
          <w:rFonts w:ascii="Times New Roman" w:hAnsi="Times New Roman" w:cs="Times New Roman"/>
          <w:b w:val="0"/>
          <w:i w:val="0"/>
          <w:lang w:eastAsia="uk-UA"/>
        </w:rPr>
        <w:t xml:space="preserve">Максимальний розмір кредитного ризику </w:t>
      </w:r>
      <w:r w:rsidR="000A7203" w:rsidRPr="00FD1070">
        <w:rPr>
          <w:rStyle w:val="a5"/>
          <w:rFonts w:ascii="Times New Roman" w:hAnsi="Times New Roman" w:cs="Times New Roman"/>
          <w:b w:val="0"/>
          <w:i w:val="0"/>
          <w:lang w:eastAsia="uk-UA"/>
        </w:rPr>
        <w:t>підприємства</w:t>
      </w:r>
      <w:r w:rsidR="001901ED" w:rsidRPr="00FD1070">
        <w:rPr>
          <w:rStyle w:val="a5"/>
          <w:rFonts w:ascii="Times New Roman" w:hAnsi="Times New Roman" w:cs="Times New Roman"/>
          <w:b w:val="0"/>
          <w:i w:val="0"/>
          <w:lang w:eastAsia="uk-UA"/>
        </w:rPr>
        <w:t xml:space="preserve"> </w:t>
      </w:r>
      <w:r w:rsidRPr="00FD1070">
        <w:rPr>
          <w:rStyle w:val="a5"/>
          <w:rFonts w:ascii="Times New Roman" w:hAnsi="Times New Roman" w:cs="Times New Roman"/>
          <w:b w:val="0"/>
          <w:i w:val="0"/>
          <w:lang w:eastAsia="uk-UA"/>
        </w:rPr>
        <w:t>обмежено балансовою вартістю фінансових активів, визнаних на звітні дати, як зазначено нижче:</w:t>
      </w:r>
    </w:p>
    <w:p w:rsidR="00D24980" w:rsidRDefault="00D24980" w:rsidP="00D24980">
      <w:pPr>
        <w:pStyle w:val="a3"/>
        <w:spacing w:before="0" w:line="240" w:lineRule="auto"/>
        <w:jc w:val="both"/>
        <w:rPr>
          <w:rStyle w:val="a5"/>
          <w:rFonts w:ascii="Times New Roman" w:hAnsi="Times New Roman" w:cs="Times New Roman"/>
          <w:b w:val="0"/>
          <w:bCs w:val="0"/>
          <w:i w:val="0"/>
          <w:iCs w:val="0"/>
          <w:lang w:eastAsia="uk-UA"/>
        </w:rPr>
      </w:pPr>
    </w:p>
    <w:p w:rsidR="00D24980" w:rsidRDefault="00D24980" w:rsidP="00D24980">
      <w:pPr>
        <w:pStyle w:val="a3"/>
        <w:spacing w:before="0" w:line="240" w:lineRule="auto"/>
        <w:jc w:val="both"/>
        <w:rPr>
          <w:rStyle w:val="a5"/>
          <w:rFonts w:ascii="Times New Roman" w:hAnsi="Times New Roman" w:cs="Times New Roman"/>
          <w:b w:val="0"/>
          <w:bCs w:val="0"/>
          <w:i w:val="0"/>
          <w:iCs w:val="0"/>
          <w:lang w:eastAsia="uk-UA"/>
        </w:rPr>
      </w:pPr>
    </w:p>
    <w:p w:rsidR="00D24980" w:rsidRDefault="00D24980" w:rsidP="00D24980">
      <w:pPr>
        <w:pStyle w:val="a3"/>
        <w:spacing w:before="0" w:line="240" w:lineRule="auto"/>
        <w:jc w:val="both"/>
        <w:rPr>
          <w:rStyle w:val="a5"/>
          <w:rFonts w:ascii="Times New Roman" w:hAnsi="Times New Roman" w:cs="Times New Roman"/>
          <w:b w:val="0"/>
          <w:bCs w:val="0"/>
          <w:i w:val="0"/>
          <w:iCs w:val="0"/>
          <w:lang w:eastAsia="uk-UA"/>
        </w:rPr>
      </w:pPr>
    </w:p>
    <w:tbl>
      <w:tblPr>
        <w:tblW w:w="0" w:type="auto"/>
        <w:tblInd w:w="20" w:type="dxa"/>
        <w:tblLook w:val="00A0" w:firstRow="1" w:lastRow="0" w:firstColumn="1" w:lastColumn="0" w:noHBand="0" w:noVBand="0"/>
      </w:tblPr>
      <w:tblGrid>
        <w:gridCol w:w="5192"/>
        <w:gridCol w:w="1984"/>
        <w:gridCol w:w="1985"/>
      </w:tblGrid>
      <w:tr w:rsidR="00D24980" w:rsidRPr="00901D22" w:rsidTr="00D06425">
        <w:trPr>
          <w:trHeight w:val="284"/>
        </w:trPr>
        <w:tc>
          <w:tcPr>
            <w:tcW w:w="5192" w:type="dxa"/>
          </w:tcPr>
          <w:p w:rsidR="00D24980" w:rsidRPr="00901D22" w:rsidRDefault="00D24980" w:rsidP="00D06425">
            <w:pPr>
              <w:pStyle w:val="a3"/>
              <w:shd w:val="clear" w:color="auto" w:fill="auto"/>
              <w:spacing w:before="180" w:line="230" w:lineRule="exact"/>
              <w:jc w:val="both"/>
              <w:rPr>
                <w:rFonts w:ascii="Times New Roman" w:hAnsi="Times New Roman" w:cs="Times New Roman"/>
                <w:b/>
              </w:rPr>
            </w:pPr>
            <w:r w:rsidRPr="00901D22">
              <w:rPr>
                <w:rFonts w:ascii="Times New Roman" w:hAnsi="Times New Roman" w:cs="Times New Roman"/>
                <w:b/>
              </w:rPr>
              <w:t>Класи фінансових активів – балансова вартість:</w:t>
            </w:r>
          </w:p>
        </w:tc>
        <w:tc>
          <w:tcPr>
            <w:tcW w:w="1984" w:type="dxa"/>
            <w:tcBorders>
              <w:bottom w:val="single" w:sz="4" w:space="0" w:color="auto"/>
            </w:tcBorders>
          </w:tcPr>
          <w:p w:rsidR="00D24980" w:rsidRPr="00547793" w:rsidRDefault="00583004" w:rsidP="00CC7DA7">
            <w:pPr>
              <w:ind w:left="141" w:right="141"/>
              <w:jc w:val="right"/>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rPr>
              <w:t>31 грудня 2021</w:t>
            </w:r>
          </w:p>
        </w:tc>
        <w:tc>
          <w:tcPr>
            <w:tcW w:w="1985" w:type="dxa"/>
            <w:tcBorders>
              <w:bottom w:val="single" w:sz="4" w:space="0" w:color="auto"/>
            </w:tcBorders>
          </w:tcPr>
          <w:p w:rsidR="00D24980" w:rsidRPr="00547793" w:rsidRDefault="00583004" w:rsidP="00CC7DA7">
            <w:pPr>
              <w:ind w:left="141" w:right="141"/>
              <w:jc w:val="right"/>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rPr>
              <w:t>31 грудня 2020</w:t>
            </w:r>
          </w:p>
        </w:tc>
      </w:tr>
      <w:tr w:rsidR="00D24980" w:rsidRPr="00901D22" w:rsidTr="00D06425">
        <w:trPr>
          <w:trHeight w:val="284"/>
        </w:trPr>
        <w:tc>
          <w:tcPr>
            <w:tcW w:w="5192" w:type="dxa"/>
          </w:tcPr>
          <w:p w:rsidR="00D24980" w:rsidRPr="00901D22" w:rsidRDefault="00D24980" w:rsidP="00D06425">
            <w:pPr>
              <w:pStyle w:val="a3"/>
              <w:shd w:val="clear" w:color="auto" w:fill="auto"/>
              <w:spacing w:before="0" w:line="230" w:lineRule="exact"/>
              <w:jc w:val="both"/>
              <w:rPr>
                <w:rFonts w:ascii="Times New Roman" w:hAnsi="Times New Roman" w:cs="Times New Roman"/>
              </w:rPr>
            </w:pPr>
            <w:r w:rsidRPr="00901D22">
              <w:rPr>
                <w:rFonts w:ascii="Times New Roman" w:hAnsi="Times New Roman" w:cs="Times New Roman"/>
              </w:rPr>
              <w:t>Грошові кошти та їх еквіваленти</w:t>
            </w:r>
          </w:p>
        </w:tc>
        <w:tc>
          <w:tcPr>
            <w:tcW w:w="1984" w:type="dxa"/>
            <w:tcBorders>
              <w:top w:val="single" w:sz="4" w:space="0" w:color="auto"/>
            </w:tcBorders>
          </w:tcPr>
          <w:p w:rsidR="00D24980" w:rsidRPr="006729AA" w:rsidRDefault="00583004" w:rsidP="00930875">
            <w:pPr>
              <w:pStyle w:val="a3"/>
              <w:shd w:val="clear" w:color="auto" w:fill="auto"/>
              <w:spacing w:before="0" w:line="230" w:lineRule="exact"/>
              <w:jc w:val="center"/>
              <w:rPr>
                <w:rFonts w:ascii="Times New Roman" w:hAnsi="Times New Roman" w:cs="Times New Roman"/>
                <w:lang w:val="ru-RU"/>
              </w:rPr>
            </w:pPr>
            <w:r>
              <w:rPr>
                <w:rFonts w:ascii="Times New Roman" w:hAnsi="Times New Roman" w:cs="Times New Roman"/>
                <w:lang w:val="ru-RU"/>
              </w:rPr>
              <w:t xml:space="preserve">                           349</w:t>
            </w:r>
          </w:p>
        </w:tc>
        <w:tc>
          <w:tcPr>
            <w:tcW w:w="1985" w:type="dxa"/>
            <w:tcBorders>
              <w:top w:val="single" w:sz="4" w:space="0" w:color="auto"/>
            </w:tcBorders>
          </w:tcPr>
          <w:p w:rsidR="00D24980" w:rsidRPr="006729AA" w:rsidRDefault="00583004" w:rsidP="00D06425">
            <w:pPr>
              <w:pStyle w:val="a3"/>
              <w:shd w:val="clear" w:color="auto" w:fill="auto"/>
              <w:spacing w:before="0" w:line="230" w:lineRule="exact"/>
              <w:jc w:val="right"/>
              <w:rPr>
                <w:rFonts w:ascii="Times New Roman" w:hAnsi="Times New Roman" w:cs="Times New Roman"/>
                <w:lang w:val="ru-RU"/>
              </w:rPr>
            </w:pPr>
            <w:r>
              <w:rPr>
                <w:rFonts w:ascii="Times New Roman" w:hAnsi="Times New Roman" w:cs="Times New Roman"/>
                <w:lang w:val="ru-RU"/>
              </w:rPr>
              <w:t>370</w:t>
            </w:r>
          </w:p>
        </w:tc>
      </w:tr>
      <w:tr w:rsidR="00D24980" w:rsidRPr="00901D22" w:rsidTr="00D06425">
        <w:trPr>
          <w:trHeight w:val="284"/>
        </w:trPr>
        <w:tc>
          <w:tcPr>
            <w:tcW w:w="5192" w:type="dxa"/>
          </w:tcPr>
          <w:p w:rsidR="00D24980" w:rsidRPr="00901D22" w:rsidRDefault="00D24980" w:rsidP="00D06425">
            <w:pPr>
              <w:pStyle w:val="a3"/>
              <w:shd w:val="clear" w:color="auto" w:fill="auto"/>
              <w:spacing w:before="0" w:line="230" w:lineRule="exact"/>
              <w:jc w:val="both"/>
              <w:rPr>
                <w:rFonts w:ascii="Times New Roman" w:hAnsi="Times New Roman" w:cs="Times New Roman"/>
              </w:rPr>
            </w:pPr>
            <w:r w:rsidRPr="00901D22">
              <w:rPr>
                <w:rFonts w:ascii="Times New Roman" w:hAnsi="Times New Roman" w:cs="Times New Roman"/>
              </w:rPr>
              <w:t>Торгова дебіторська заборгованість</w:t>
            </w:r>
          </w:p>
        </w:tc>
        <w:tc>
          <w:tcPr>
            <w:tcW w:w="1984" w:type="dxa"/>
            <w:tcBorders>
              <w:bottom w:val="single" w:sz="4" w:space="0" w:color="auto"/>
            </w:tcBorders>
          </w:tcPr>
          <w:p w:rsidR="00D24980" w:rsidRPr="006729AA" w:rsidRDefault="00583004" w:rsidP="00D06425">
            <w:pPr>
              <w:pStyle w:val="a3"/>
              <w:shd w:val="clear" w:color="auto" w:fill="auto"/>
              <w:spacing w:before="0" w:line="230" w:lineRule="exact"/>
              <w:jc w:val="right"/>
              <w:rPr>
                <w:rFonts w:ascii="Times New Roman" w:hAnsi="Times New Roman" w:cs="Times New Roman"/>
                <w:lang w:val="ru-RU"/>
              </w:rPr>
            </w:pPr>
            <w:r>
              <w:rPr>
                <w:rFonts w:ascii="Times New Roman" w:hAnsi="Times New Roman" w:cs="Times New Roman"/>
                <w:lang w:val="ru-RU"/>
              </w:rPr>
              <w:t>111 895</w:t>
            </w:r>
          </w:p>
        </w:tc>
        <w:tc>
          <w:tcPr>
            <w:tcW w:w="1985" w:type="dxa"/>
            <w:tcBorders>
              <w:bottom w:val="single" w:sz="4" w:space="0" w:color="auto"/>
            </w:tcBorders>
          </w:tcPr>
          <w:p w:rsidR="00D24980" w:rsidRPr="006729AA" w:rsidRDefault="00583004" w:rsidP="00D06425">
            <w:pPr>
              <w:pStyle w:val="a3"/>
              <w:shd w:val="clear" w:color="auto" w:fill="auto"/>
              <w:spacing w:before="0" w:line="230" w:lineRule="exact"/>
              <w:jc w:val="right"/>
              <w:rPr>
                <w:rFonts w:ascii="Times New Roman" w:hAnsi="Times New Roman" w:cs="Times New Roman"/>
                <w:lang w:val="ru-RU"/>
              </w:rPr>
            </w:pPr>
            <w:r>
              <w:rPr>
                <w:rFonts w:ascii="Times New Roman" w:hAnsi="Times New Roman" w:cs="Times New Roman"/>
                <w:lang w:val="ru-RU"/>
              </w:rPr>
              <w:t>99 460</w:t>
            </w:r>
          </w:p>
        </w:tc>
      </w:tr>
      <w:tr w:rsidR="00D24980" w:rsidRPr="00901D22" w:rsidTr="00D06425">
        <w:trPr>
          <w:trHeight w:val="284"/>
        </w:trPr>
        <w:tc>
          <w:tcPr>
            <w:tcW w:w="5192" w:type="dxa"/>
          </w:tcPr>
          <w:p w:rsidR="00D24980" w:rsidRPr="00901D22" w:rsidRDefault="00D24980" w:rsidP="00D06425">
            <w:pPr>
              <w:pStyle w:val="a3"/>
              <w:shd w:val="clear" w:color="auto" w:fill="auto"/>
              <w:spacing w:before="0" w:line="230" w:lineRule="exact"/>
              <w:jc w:val="both"/>
              <w:rPr>
                <w:rFonts w:ascii="Times New Roman" w:hAnsi="Times New Roman" w:cs="Times New Roman"/>
              </w:rPr>
            </w:pPr>
          </w:p>
        </w:tc>
        <w:tc>
          <w:tcPr>
            <w:tcW w:w="1984" w:type="dxa"/>
            <w:tcBorders>
              <w:top w:val="single" w:sz="4" w:space="0" w:color="auto"/>
            </w:tcBorders>
          </w:tcPr>
          <w:p w:rsidR="00D24980" w:rsidRPr="00547793" w:rsidRDefault="00583004" w:rsidP="00D06425">
            <w:pPr>
              <w:pStyle w:val="a3"/>
              <w:shd w:val="clear" w:color="auto" w:fill="auto"/>
              <w:spacing w:before="0" w:line="230" w:lineRule="exact"/>
              <w:jc w:val="right"/>
              <w:rPr>
                <w:rFonts w:ascii="Times New Roman" w:hAnsi="Times New Roman" w:cs="Times New Roman"/>
                <w:b/>
                <w:lang w:val="ru-RU"/>
              </w:rPr>
            </w:pPr>
            <w:r>
              <w:rPr>
                <w:rFonts w:ascii="Times New Roman" w:hAnsi="Times New Roman" w:cs="Times New Roman"/>
                <w:b/>
                <w:lang w:val="ru-RU"/>
              </w:rPr>
              <w:t>112 244</w:t>
            </w:r>
          </w:p>
        </w:tc>
        <w:tc>
          <w:tcPr>
            <w:tcW w:w="1985" w:type="dxa"/>
            <w:tcBorders>
              <w:top w:val="single" w:sz="4" w:space="0" w:color="auto"/>
            </w:tcBorders>
          </w:tcPr>
          <w:p w:rsidR="00D24980" w:rsidRPr="006729AA" w:rsidRDefault="00583004" w:rsidP="00D06425">
            <w:pPr>
              <w:pStyle w:val="a3"/>
              <w:shd w:val="clear" w:color="auto" w:fill="auto"/>
              <w:spacing w:before="0" w:line="230" w:lineRule="exact"/>
              <w:jc w:val="right"/>
              <w:rPr>
                <w:rFonts w:ascii="Times New Roman" w:hAnsi="Times New Roman" w:cs="Times New Roman"/>
                <w:b/>
                <w:lang w:val="ru-RU"/>
              </w:rPr>
            </w:pPr>
            <w:r>
              <w:rPr>
                <w:rFonts w:ascii="Times New Roman" w:hAnsi="Times New Roman" w:cs="Times New Roman"/>
                <w:b/>
                <w:lang w:val="ru-RU"/>
              </w:rPr>
              <w:t>99 830</w:t>
            </w:r>
          </w:p>
        </w:tc>
      </w:tr>
    </w:tbl>
    <w:p w:rsidR="00D24980" w:rsidRPr="00901D22" w:rsidRDefault="000A7203" w:rsidP="00D24980">
      <w:pPr>
        <w:spacing w:before="12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Підприємство</w:t>
      </w:r>
      <w:r w:rsidR="00D24980" w:rsidRPr="00901D22">
        <w:rPr>
          <w:rFonts w:ascii="Times New Roman" w:hAnsi="Times New Roman" w:cs="Times New Roman"/>
          <w:sz w:val="20"/>
          <w:szCs w:val="20"/>
        </w:rPr>
        <w:t xml:space="preserve"> розміщує свої грошові кошти та їх еквіваленти у АКБ " ІНДУСТРІАЛБАНК"</w:t>
      </w:r>
      <w:r w:rsidR="00930875">
        <w:rPr>
          <w:rFonts w:ascii="Times New Roman" w:hAnsi="Times New Roman" w:cs="Times New Roman"/>
          <w:sz w:val="20"/>
          <w:szCs w:val="20"/>
        </w:rPr>
        <w:t xml:space="preserve"> ,</w:t>
      </w:r>
      <w:r w:rsidR="002B4AD5">
        <w:rPr>
          <w:rFonts w:ascii="Times New Roman" w:hAnsi="Times New Roman" w:cs="Times New Roman"/>
          <w:sz w:val="20"/>
          <w:szCs w:val="20"/>
        </w:rPr>
        <w:t xml:space="preserve">  АТ ПУМБ</w:t>
      </w:r>
      <w:r w:rsidR="005A2DCF">
        <w:rPr>
          <w:rFonts w:ascii="Times New Roman" w:hAnsi="Times New Roman" w:cs="Times New Roman"/>
          <w:sz w:val="20"/>
          <w:szCs w:val="20"/>
        </w:rPr>
        <w:t xml:space="preserve">,   ОТП БАНК  та РАЙФАЗЕН БАНК </w:t>
      </w:r>
      <w:r w:rsidR="00930875">
        <w:rPr>
          <w:rFonts w:ascii="Times New Roman" w:hAnsi="Times New Roman" w:cs="Times New Roman"/>
          <w:sz w:val="20"/>
          <w:szCs w:val="20"/>
        </w:rPr>
        <w:t xml:space="preserve"> АТ</w:t>
      </w:r>
      <w:r w:rsidR="002B4AD5">
        <w:rPr>
          <w:rFonts w:ascii="Times New Roman" w:hAnsi="Times New Roman" w:cs="Times New Roman"/>
          <w:sz w:val="20"/>
          <w:szCs w:val="20"/>
        </w:rPr>
        <w:t>, які входя</w:t>
      </w:r>
      <w:r w:rsidR="00D24980" w:rsidRPr="00901D22">
        <w:rPr>
          <w:rFonts w:ascii="Times New Roman" w:hAnsi="Times New Roman" w:cs="Times New Roman"/>
          <w:sz w:val="20"/>
          <w:szCs w:val="20"/>
        </w:rPr>
        <w:t xml:space="preserve">ть до групи середніх </w:t>
      </w:r>
      <w:r w:rsidR="002B4AD5">
        <w:rPr>
          <w:rFonts w:ascii="Times New Roman" w:hAnsi="Times New Roman" w:cs="Times New Roman"/>
          <w:sz w:val="20"/>
          <w:szCs w:val="20"/>
        </w:rPr>
        <w:t>банків за класифікацією НБУ, мають</w:t>
      </w:r>
      <w:r w:rsidR="00D24980" w:rsidRPr="00901D22">
        <w:rPr>
          <w:rFonts w:ascii="Times New Roman" w:hAnsi="Times New Roman" w:cs="Times New Roman"/>
          <w:sz w:val="20"/>
          <w:szCs w:val="20"/>
        </w:rPr>
        <w:t xml:space="preserve"> надій</w:t>
      </w:r>
      <w:r w:rsidR="00FD1070">
        <w:rPr>
          <w:rFonts w:ascii="Times New Roman" w:hAnsi="Times New Roman" w:cs="Times New Roman"/>
          <w:sz w:val="20"/>
          <w:szCs w:val="20"/>
        </w:rPr>
        <w:t>ну репутаці</w:t>
      </w:r>
      <w:r>
        <w:rPr>
          <w:rFonts w:ascii="Times New Roman" w:hAnsi="Times New Roman" w:cs="Times New Roman"/>
          <w:sz w:val="20"/>
          <w:szCs w:val="20"/>
        </w:rPr>
        <w:t>ю. Керівництво підприємства</w:t>
      </w:r>
      <w:r w:rsidR="00D24980" w:rsidRPr="00901D22">
        <w:rPr>
          <w:rFonts w:ascii="Times New Roman" w:hAnsi="Times New Roman" w:cs="Times New Roman"/>
          <w:sz w:val="20"/>
          <w:szCs w:val="20"/>
        </w:rPr>
        <w:t xml:space="preserve"> здійснює постійний моніторинг фінансового стану АКБ "ІНДУСТРІАЛБАНК"</w:t>
      </w:r>
      <w:r w:rsidR="00930875">
        <w:rPr>
          <w:rFonts w:ascii="Times New Roman" w:hAnsi="Times New Roman" w:cs="Times New Roman"/>
          <w:sz w:val="20"/>
          <w:szCs w:val="20"/>
        </w:rPr>
        <w:t>,</w:t>
      </w:r>
      <w:r w:rsidR="002B4AD5">
        <w:rPr>
          <w:rFonts w:ascii="Times New Roman" w:hAnsi="Times New Roman" w:cs="Times New Roman"/>
          <w:sz w:val="20"/>
          <w:szCs w:val="20"/>
        </w:rPr>
        <w:t xml:space="preserve"> АТ ПУМБ</w:t>
      </w:r>
      <w:r w:rsidR="005A2DCF">
        <w:rPr>
          <w:rFonts w:ascii="Times New Roman" w:hAnsi="Times New Roman" w:cs="Times New Roman"/>
          <w:sz w:val="20"/>
          <w:szCs w:val="20"/>
        </w:rPr>
        <w:t xml:space="preserve"> ОТП БАНК  та РАЙФАЗЕН БАНК </w:t>
      </w:r>
      <w:r w:rsidR="00930875">
        <w:rPr>
          <w:rFonts w:ascii="Times New Roman" w:hAnsi="Times New Roman" w:cs="Times New Roman"/>
          <w:sz w:val="20"/>
          <w:szCs w:val="20"/>
        </w:rPr>
        <w:t xml:space="preserve"> АТ</w:t>
      </w:r>
      <w:r w:rsidR="00D24980" w:rsidRPr="00901D22">
        <w:rPr>
          <w:rFonts w:ascii="Times New Roman" w:hAnsi="Times New Roman" w:cs="Times New Roman"/>
          <w:sz w:val="20"/>
          <w:szCs w:val="20"/>
        </w:rPr>
        <w:t>, де розміщені грошові кошти та їх ек</w:t>
      </w:r>
      <w:r>
        <w:rPr>
          <w:rFonts w:ascii="Times New Roman" w:hAnsi="Times New Roman" w:cs="Times New Roman"/>
          <w:sz w:val="20"/>
          <w:szCs w:val="20"/>
        </w:rPr>
        <w:t>віваленти. Кредитний ризик підприємства</w:t>
      </w:r>
      <w:r w:rsidR="00D24980" w:rsidRPr="00901D22">
        <w:rPr>
          <w:rFonts w:ascii="Times New Roman" w:hAnsi="Times New Roman" w:cs="Times New Roman"/>
          <w:sz w:val="20"/>
          <w:szCs w:val="20"/>
        </w:rPr>
        <w:t xml:space="preserve"> </w:t>
      </w:r>
      <w:r w:rsidR="002B4AD5">
        <w:rPr>
          <w:rFonts w:ascii="Times New Roman" w:hAnsi="Times New Roman" w:cs="Times New Roman"/>
          <w:sz w:val="20"/>
          <w:szCs w:val="20"/>
        </w:rPr>
        <w:t>пов'язаний з невиконанням банками</w:t>
      </w:r>
      <w:r w:rsidR="00D24980" w:rsidRPr="00901D22">
        <w:rPr>
          <w:rFonts w:ascii="Times New Roman" w:hAnsi="Times New Roman" w:cs="Times New Roman"/>
          <w:sz w:val="20"/>
          <w:szCs w:val="20"/>
        </w:rPr>
        <w:t xml:space="preserve"> своїх зобов'язань та обмежується сумою грошових коштів та їх еквівалентів, розміщених на банківських рахунках.</w:t>
      </w:r>
    </w:p>
    <w:p w:rsidR="00D24980" w:rsidRDefault="000A7203" w:rsidP="00D24980">
      <w:pPr>
        <w:spacing w:before="120" w:line="276" w:lineRule="auto"/>
        <w:jc w:val="both"/>
        <w:rPr>
          <w:rFonts w:ascii="Times New Roman" w:hAnsi="Times New Roman" w:cs="Times New Roman"/>
          <w:sz w:val="20"/>
          <w:szCs w:val="20"/>
        </w:rPr>
      </w:pPr>
      <w:r>
        <w:rPr>
          <w:rFonts w:ascii="Times New Roman" w:hAnsi="Times New Roman" w:cs="Times New Roman"/>
          <w:sz w:val="20"/>
          <w:szCs w:val="20"/>
        </w:rPr>
        <w:t>Підприємство</w:t>
      </w:r>
      <w:r w:rsidR="00D24980" w:rsidRPr="00901D22">
        <w:rPr>
          <w:rFonts w:ascii="Times New Roman" w:hAnsi="Times New Roman" w:cs="Times New Roman"/>
          <w:sz w:val="20"/>
          <w:szCs w:val="20"/>
        </w:rPr>
        <w:t xml:space="preserve"> здійснює торгові операції тільки з перевіреними і кредитоспроможними клієнтами на вн</w:t>
      </w:r>
      <w:r>
        <w:rPr>
          <w:rFonts w:ascii="Times New Roman" w:hAnsi="Times New Roman" w:cs="Times New Roman"/>
          <w:sz w:val="20"/>
          <w:szCs w:val="20"/>
        </w:rPr>
        <w:t>утрішньому ринку. Політика підприємства</w:t>
      </w:r>
      <w:r w:rsidR="00D24980" w:rsidRPr="00901D22">
        <w:rPr>
          <w:rFonts w:ascii="Times New Roman" w:hAnsi="Times New Roman" w:cs="Times New Roman"/>
          <w:sz w:val="20"/>
          <w:szCs w:val="20"/>
        </w:rPr>
        <w:t xml:space="preserve"> полягає в тому, що можливість надання кредиту клієнтам, які бажають співпрацювати на кредитних умовах, у кожному конкретному випадку аналізується і підлягає формальному затвердженню. Окрім того, у 2012 році </w:t>
      </w:r>
      <w:r>
        <w:rPr>
          <w:rFonts w:ascii="Times New Roman" w:hAnsi="Times New Roman" w:cs="Times New Roman"/>
          <w:sz w:val="20"/>
          <w:szCs w:val="20"/>
        </w:rPr>
        <w:t>підприємство запровадило</w:t>
      </w:r>
      <w:r w:rsidR="00D24980" w:rsidRPr="00901D22">
        <w:rPr>
          <w:rFonts w:ascii="Times New Roman" w:hAnsi="Times New Roman" w:cs="Times New Roman"/>
          <w:sz w:val="20"/>
          <w:szCs w:val="20"/>
        </w:rPr>
        <w:t xml:space="preserve"> додаткову процедуру моніторингу фінансової інформації про клієнтів на щоквартальній основі. Інші ризики відстежуються і аналізуються у кожному конкрет</w:t>
      </w:r>
      <w:r>
        <w:rPr>
          <w:rFonts w:ascii="Times New Roman" w:hAnsi="Times New Roman" w:cs="Times New Roman"/>
          <w:sz w:val="20"/>
          <w:szCs w:val="20"/>
        </w:rPr>
        <w:t>ному випадку.</w:t>
      </w:r>
    </w:p>
    <w:p w:rsidR="00C81895" w:rsidRDefault="00C81895" w:rsidP="00D24980">
      <w:pPr>
        <w:spacing w:before="120" w:line="276" w:lineRule="auto"/>
        <w:jc w:val="both"/>
        <w:rPr>
          <w:rFonts w:ascii="Times New Roman" w:hAnsi="Times New Roman" w:cs="Times New Roman"/>
          <w:sz w:val="20"/>
          <w:szCs w:val="20"/>
        </w:rPr>
      </w:pPr>
    </w:p>
    <w:p w:rsidR="00C81895" w:rsidRDefault="00C81895" w:rsidP="00D24980">
      <w:pPr>
        <w:spacing w:before="120" w:line="276" w:lineRule="auto"/>
        <w:jc w:val="both"/>
        <w:rPr>
          <w:rFonts w:ascii="Times New Roman" w:hAnsi="Times New Roman" w:cs="Times New Roman"/>
          <w:sz w:val="20"/>
          <w:szCs w:val="20"/>
        </w:rPr>
      </w:pPr>
    </w:p>
    <w:p w:rsidR="00C81895" w:rsidRDefault="00C81895" w:rsidP="00D24980">
      <w:pPr>
        <w:spacing w:before="120" w:line="276" w:lineRule="auto"/>
        <w:jc w:val="both"/>
        <w:rPr>
          <w:rFonts w:ascii="Times New Roman" w:hAnsi="Times New Roman" w:cs="Times New Roman"/>
          <w:sz w:val="20"/>
          <w:szCs w:val="20"/>
        </w:rPr>
      </w:pPr>
    </w:p>
    <w:p w:rsidR="00C81895" w:rsidRDefault="00C81895" w:rsidP="00D24980">
      <w:pPr>
        <w:spacing w:before="120" w:line="276" w:lineRule="auto"/>
        <w:jc w:val="both"/>
        <w:rPr>
          <w:rFonts w:ascii="Times New Roman" w:hAnsi="Times New Roman" w:cs="Times New Roman"/>
          <w:sz w:val="20"/>
          <w:szCs w:val="20"/>
        </w:rPr>
      </w:pPr>
    </w:p>
    <w:p w:rsidR="00C81895" w:rsidRDefault="00C81895" w:rsidP="00D24980">
      <w:pPr>
        <w:spacing w:before="120" w:line="276" w:lineRule="auto"/>
        <w:jc w:val="both"/>
        <w:rPr>
          <w:rFonts w:ascii="Times New Roman" w:hAnsi="Times New Roman" w:cs="Times New Roman"/>
          <w:sz w:val="20"/>
          <w:szCs w:val="20"/>
        </w:rPr>
      </w:pPr>
      <w:r>
        <w:rPr>
          <w:rFonts w:ascii="Times New Roman" w:hAnsi="Times New Roman" w:cs="Times New Roman"/>
          <w:sz w:val="20"/>
          <w:szCs w:val="20"/>
          <w:lang w:val="ru-RU"/>
        </w:rPr>
        <w:t xml:space="preserve">         </w:t>
      </w:r>
      <w:r>
        <w:rPr>
          <w:rFonts w:ascii="Times New Roman" w:hAnsi="Times New Roman" w:cs="Times New Roman"/>
          <w:sz w:val="20"/>
          <w:szCs w:val="20"/>
        </w:rPr>
        <w:t xml:space="preserve"> Директор</w:t>
      </w:r>
      <w:r w:rsidR="002B4AD5">
        <w:rPr>
          <w:rFonts w:ascii="Times New Roman" w:hAnsi="Times New Roman" w:cs="Times New Roman"/>
          <w:sz w:val="20"/>
          <w:szCs w:val="20"/>
        </w:rPr>
        <w:t xml:space="preserve"> фінансовий</w:t>
      </w:r>
      <w:r>
        <w:rPr>
          <w:rFonts w:ascii="Times New Roman" w:hAnsi="Times New Roman" w:cs="Times New Roman"/>
          <w:sz w:val="20"/>
          <w:szCs w:val="20"/>
        </w:rPr>
        <w:t xml:space="preserve">                        </w:t>
      </w:r>
      <w:r w:rsidR="002B4AD5">
        <w:rPr>
          <w:rFonts w:ascii="Times New Roman" w:hAnsi="Times New Roman" w:cs="Times New Roman"/>
          <w:sz w:val="20"/>
          <w:szCs w:val="20"/>
        </w:rPr>
        <w:t xml:space="preserve">                               А..М.Моісєєва</w:t>
      </w:r>
    </w:p>
    <w:p w:rsidR="00C81895" w:rsidRDefault="00C81895" w:rsidP="00D24980">
      <w:pPr>
        <w:spacing w:before="120" w:line="276" w:lineRule="auto"/>
        <w:jc w:val="both"/>
        <w:rPr>
          <w:rFonts w:ascii="Times New Roman" w:hAnsi="Times New Roman" w:cs="Times New Roman"/>
          <w:sz w:val="20"/>
          <w:szCs w:val="20"/>
        </w:rPr>
      </w:pPr>
    </w:p>
    <w:p w:rsidR="00C81895" w:rsidRPr="00C81895" w:rsidRDefault="00C81895" w:rsidP="00D24980">
      <w:pPr>
        <w:spacing w:before="120" w:line="276" w:lineRule="auto"/>
        <w:jc w:val="both"/>
        <w:rPr>
          <w:rFonts w:ascii="Times New Roman" w:hAnsi="Times New Roman" w:cs="Times New Roman"/>
          <w:sz w:val="20"/>
          <w:szCs w:val="20"/>
        </w:rPr>
      </w:pPr>
      <w:r>
        <w:rPr>
          <w:rFonts w:ascii="Times New Roman" w:hAnsi="Times New Roman" w:cs="Times New Roman"/>
          <w:sz w:val="20"/>
          <w:szCs w:val="20"/>
        </w:rPr>
        <w:t xml:space="preserve">         Головний бухгалтер                                                              І.І.Будько</w:t>
      </w:r>
    </w:p>
    <w:sectPr w:rsidR="00C81895" w:rsidRPr="00C818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69" w:rsidRDefault="00844F69" w:rsidP="00560888">
      <w:r>
        <w:separator/>
      </w:r>
    </w:p>
  </w:endnote>
  <w:endnote w:type="continuationSeparator" w:id="0">
    <w:p w:rsidR="00844F69" w:rsidRDefault="00844F69" w:rsidP="0056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69" w:rsidRDefault="00844F69" w:rsidP="00560888">
      <w:r>
        <w:separator/>
      </w:r>
    </w:p>
  </w:footnote>
  <w:footnote w:type="continuationSeparator" w:id="0">
    <w:p w:rsidR="00844F69" w:rsidRDefault="00844F69" w:rsidP="0056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4021"/>
    <w:multiLevelType w:val="hybridMultilevel"/>
    <w:tmpl w:val="45ECF654"/>
    <w:lvl w:ilvl="0" w:tplc="71EE57CA">
      <w:start w:val="3"/>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187934"/>
    <w:multiLevelType w:val="multilevel"/>
    <w:tmpl w:val="A32EBBD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6E1B4B3A"/>
    <w:multiLevelType w:val="hybridMultilevel"/>
    <w:tmpl w:val="AF4C76C2"/>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FC"/>
    <w:rsid w:val="0004445F"/>
    <w:rsid w:val="000A7203"/>
    <w:rsid w:val="000B6A66"/>
    <w:rsid w:val="000E17BD"/>
    <w:rsid w:val="00172C0F"/>
    <w:rsid w:val="00176B1E"/>
    <w:rsid w:val="00184596"/>
    <w:rsid w:val="001901ED"/>
    <w:rsid w:val="002220A0"/>
    <w:rsid w:val="0022285A"/>
    <w:rsid w:val="00231EAF"/>
    <w:rsid w:val="00232F85"/>
    <w:rsid w:val="00272106"/>
    <w:rsid w:val="002B4AD5"/>
    <w:rsid w:val="0035303F"/>
    <w:rsid w:val="003777DB"/>
    <w:rsid w:val="00380844"/>
    <w:rsid w:val="00381F67"/>
    <w:rsid w:val="003A7B15"/>
    <w:rsid w:val="003B4CEF"/>
    <w:rsid w:val="003C1D78"/>
    <w:rsid w:val="00400EF2"/>
    <w:rsid w:val="0043401D"/>
    <w:rsid w:val="00434ABC"/>
    <w:rsid w:val="00436D4D"/>
    <w:rsid w:val="00436F3C"/>
    <w:rsid w:val="00462D05"/>
    <w:rsid w:val="00462E21"/>
    <w:rsid w:val="00473141"/>
    <w:rsid w:val="004870D4"/>
    <w:rsid w:val="004A6CAD"/>
    <w:rsid w:val="004C3014"/>
    <w:rsid w:val="004D1BFC"/>
    <w:rsid w:val="005076F8"/>
    <w:rsid w:val="0053179B"/>
    <w:rsid w:val="00555F07"/>
    <w:rsid w:val="00560888"/>
    <w:rsid w:val="00583004"/>
    <w:rsid w:val="005A2DCF"/>
    <w:rsid w:val="005B6290"/>
    <w:rsid w:val="005C6DA7"/>
    <w:rsid w:val="005D453B"/>
    <w:rsid w:val="00630731"/>
    <w:rsid w:val="00635221"/>
    <w:rsid w:val="006415C4"/>
    <w:rsid w:val="006532D0"/>
    <w:rsid w:val="00666D73"/>
    <w:rsid w:val="006D7AB4"/>
    <w:rsid w:val="006F02C0"/>
    <w:rsid w:val="00753AE9"/>
    <w:rsid w:val="00793AC4"/>
    <w:rsid w:val="007A5510"/>
    <w:rsid w:val="007C5AC9"/>
    <w:rsid w:val="007D2761"/>
    <w:rsid w:val="007D3FE7"/>
    <w:rsid w:val="007D5293"/>
    <w:rsid w:val="007E244D"/>
    <w:rsid w:val="0081726B"/>
    <w:rsid w:val="008232A8"/>
    <w:rsid w:val="00844F69"/>
    <w:rsid w:val="0088440E"/>
    <w:rsid w:val="00886881"/>
    <w:rsid w:val="008869C5"/>
    <w:rsid w:val="00891584"/>
    <w:rsid w:val="008A69E6"/>
    <w:rsid w:val="008C10A8"/>
    <w:rsid w:val="008F5D13"/>
    <w:rsid w:val="00900363"/>
    <w:rsid w:val="00930875"/>
    <w:rsid w:val="0094784D"/>
    <w:rsid w:val="00954F1E"/>
    <w:rsid w:val="00956BFC"/>
    <w:rsid w:val="00980E4B"/>
    <w:rsid w:val="009B15CB"/>
    <w:rsid w:val="009B3D35"/>
    <w:rsid w:val="009D51A4"/>
    <w:rsid w:val="00A73FA5"/>
    <w:rsid w:val="00A902C4"/>
    <w:rsid w:val="00A92965"/>
    <w:rsid w:val="00AA6B17"/>
    <w:rsid w:val="00AA7AC3"/>
    <w:rsid w:val="00AC4D0E"/>
    <w:rsid w:val="00B243E8"/>
    <w:rsid w:val="00B906C0"/>
    <w:rsid w:val="00BD5D5D"/>
    <w:rsid w:val="00BE022D"/>
    <w:rsid w:val="00C81895"/>
    <w:rsid w:val="00C91D1B"/>
    <w:rsid w:val="00CC7DA7"/>
    <w:rsid w:val="00D24980"/>
    <w:rsid w:val="00D32EE9"/>
    <w:rsid w:val="00D904E7"/>
    <w:rsid w:val="00D90B95"/>
    <w:rsid w:val="00DB1546"/>
    <w:rsid w:val="00DD3CE4"/>
    <w:rsid w:val="00DE5073"/>
    <w:rsid w:val="00DF7B05"/>
    <w:rsid w:val="00E3404A"/>
    <w:rsid w:val="00E63F7B"/>
    <w:rsid w:val="00EA1069"/>
    <w:rsid w:val="00EC7079"/>
    <w:rsid w:val="00EE3DC3"/>
    <w:rsid w:val="00F2645F"/>
    <w:rsid w:val="00F62C32"/>
    <w:rsid w:val="00F66DC4"/>
    <w:rsid w:val="00F82970"/>
    <w:rsid w:val="00F8359D"/>
    <w:rsid w:val="00FD1070"/>
    <w:rsid w:val="00FE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7BCB"/>
  <w15:chartTrackingRefBased/>
  <w15:docId w15:val="{07BA1F58-C77E-46D9-8E05-088F41BD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FC"/>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D1BFC"/>
    <w:pPr>
      <w:shd w:val="clear" w:color="auto" w:fill="FFFFFF"/>
      <w:spacing w:before="480" w:line="226" w:lineRule="exact"/>
    </w:pPr>
    <w:rPr>
      <w:rFonts w:ascii="Arial" w:hAnsi="Arial" w:cs="Arial"/>
      <w:color w:val="auto"/>
      <w:sz w:val="20"/>
      <w:szCs w:val="20"/>
      <w:lang w:eastAsia="ru-RU"/>
    </w:rPr>
  </w:style>
  <w:style w:type="character" w:customStyle="1" w:styleId="a4">
    <w:name w:val="Основной текст Знак"/>
    <w:basedOn w:val="a0"/>
    <w:link w:val="a3"/>
    <w:uiPriority w:val="99"/>
    <w:rsid w:val="004D1BFC"/>
    <w:rPr>
      <w:rFonts w:ascii="Arial" w:eastAsia="Arial Unicode MS" w:hAnsi="Arial" w:cs="Arial"/>
      <w:sz w:val="20"/>
      <w:szCs w:val="20"/>
      <w:shd w:val="clear" w:color="auto" w:fill="FFFFFF"/>
      <w:lang w:val="uk-UA" w:eastAsia="ru-RU"/>
    </w:rPr>
  </w:style>
  <w:style w:type="character" w:customStyle="1" w:styleId="4">
    <w:name w:val="Заголовок №4"/>
    <w:basedOn w:val="a0"/>
    <w:link w:val="41"/>
    <w:uiPriority w:val="99"/>
    <w:rsid w:val="004D1BFC"/>
    <w:rPr>
      <w:rFonts w:ascii="Arial" w:hAnsi="Arial" w:cs="Arial"/>
      <w:b/>
      <w:bCs/>
      <w:sz w:val="20"/>
      <w:szCs w:val="20"/>
      <w:shd w:val="clear" w:color="auto" w:fill="FFFFFF"/>
    </w:rPr>
  </w:style>
  <w:style w:type="paragraph" w:customStyle="1" w:styleId="41">
    <w:name w:val="Заголовок №41"/>
    <w:basedOn w:val="a"/>
    <w:link w:val="4"/>
    <w:uiPriority w:val="99"/>
    <w:rsid w:val="004D1BFC"/>
    <w:pPr>
      <w:shd w:val="clear" w:color="auto" w:fill="FFFFFF"/>
      <w:spacing w:line="466" w:lineRule="exact"/>
      <w:outlineLvl w:val="3"/>
    </w:pPr>
    <w:rPr>
      <w:rFonts w:ascii="Arial" w:eastAsiaTheme="minorHAnsi" w:hAnsi="Arial" w:cs="Arial"/>
      <w:b/>
      <w:bCs/>
      <w:color w:val="auto"/>
      <w:sz w:val="20"/>
      <w:szCs w:val="20"/>
      <w:lang w:val="ru-RU" w:eastAsia="en-US"/>
    </w:rPr>
  </w:style>
  <w:style w:type="character" w:customStyle="1" w:styleId="11">
    <w:name w:val="Основной текст (11)"/>
    <w:basedOn w:val="a0"/>
    <w:link w:val="111"/>
    <w:uiPriority w:val="99"/>
    <w:rsid w:val="00D24980"/>
    <w:rPr>
      <w:rFonts w:ascii="Arial" w:hAnsi="Arial" w:cs="Arial"/>
      <w:sz w:val="18"/>
      <w:szCs w:val="18"/>
      <w:shd w:val="clear" w:color="auto" w:fill="FFFFFF"/>
    </w:rPr>
  </w:style>
  <w:style w:type="paragraph" w:customStyle="1" w:styleId="111">
    <w:name w:val="Основной текст (11)1"/>
    <w:basedOn w:val="a"/>
    <w:link w:val="11"/>
    <w:uiPriority w:val="99"/>
    <w:rsid w:val="00D24980"/>
    <w:pPr>
      <w:shd w:val="clear" w:color="auto" w:fill="FFFFFF"/>
      <w:spacing w:line="240" w:lineRule="atLeast"/>
    </w:pPr>
    <w:rPr>
      <w:rFonts w:ascii="Arial" w:eastAsiaTheme="minorHAnsi" w:hAnsi="Arial" w:cs="Arial"/>
      <w:color w:val="auto"/>
      <w:sz w:val="18"/>
      <w:szCs w:val="18"/>
      <w:lang w:val="ru-RU" w:eastAsia="en-US"/>
    </w:rPr>
  </w:style>
  <w:style w:type="character" w:customStyle="1" w:styleId="14">
    <w:name w:val="Основной текст (14)"/>
    <w:basedOn w:val="a0"/>
    <w:link w:val="141"/>
    <w:uiPriority w:val="99"/>
    <w:rsid w:val="00D24980"/>
    <w:rPr>
      <w:rFonts w:ascii="Arial" w:hAnsi="Arial" w:cs="Arial"/>
      <w:b/>
      <w:bCs/>
      <w:sz w:val="18"/>
      <w:szCs w:val="18"/>
      <w:shd w:val="clear" w:color="auto" w:fill="FFFFFF"/>
    </w:rPr>
  </w:style>
  <w:style w:type="character" w:customStyle="1" w:styleId="19">
    <w:name w:val="Основной текст (19)"/>
    <w:basedOn w:val="a0"/>
    <w:link w:val="191"/>
    <w:uiPriority w:val="99"/>
    <w:rsid w:val="00D24980"/>
    <w:rPr>
      <w:rFonts w:ascii="Arial" w:hAnsi="Arial" w:cs="Arial"/>
      <w:sz w:val="18"/>
      <w:szCs w:val="18"/>
      <w:shd w:val="clear" w:color="auto" w:fill="FFFFFF"/>
    </w:rPr>
  </w:style>
  <w:style w:type="character" w:customStyle="1" w:styleId="20">
    <w:name w:val="Основной текст (20)"/>
    <w:basedOn w:val="a0"/>
    <w:link w:val="201"/>
    <w:uiPriority w:val="99"/>
    <w:rsid w:val="00D24980"/>
    <w:rPr>
      <w:rFonts w:ascii="Arial" w:hAnsi="Arial" w:cs="Arial"/>
      <w:b/>
      <w:bCs/>
      <w:sz w:val="18"/>
      <w:szCs w:val="18"/>
      <w:shd w:val="clear" w:color="auto" w:fill="FFFFFF"/>
    </w:rPr>
  </w:style>
  <w:style w:type="paragraph" w:customStyle="1" w:styleId="141">
    <w:name w:val="Основной текст (14)1"/>
    <w:basedOn w:val="a"/>
    <w:link w:val="14"/>
    <w:uiPriority w:val="99"/>
    <w:rsid w:val="00D24980"/>
    <w:pPr>
      <w:shd w:val="clear" w:color="auto" w:fill="FFFFFF"/>
      <w:spacing w:line="240" w:lineRule="atLeast"/>
    </w:pPr>
    <w:rPr>
      <w:rFonts w:ascii="Arial" w:eastAsiaTheme="minorHAnsi" w:hAnsi="Arial" w:cs="Arial"/>
      <w:b/>
      <w:bCs/>
      <w:color w:val="auto"/>
      <w:sz w:val="18"/>
      <w:szCs w:val="18"/>
      <w:lang w:val="ru-RU" w:eastAsia="en-US"/>
    </w:rPr>
  </w:style>
  <w:style w:type="paragraph" w:customStyle="1" w:styleId="191">
    <w:name w:val="Основной текст (19)1"/>
    <w:basedOn w:val="a"/>
    <w:link w:val="19"/>
    <w:uiPriority w:val="99"/>
    <w:rsid w:val="00D24980"/>
    <w:pPr>
      <w:shd w:val="clear" w:color="auto" w:fill="FFFFFF"/>
      <w:spacing w:line="240" w:lineRule="atLeast"/>
      <w:jc w:val="both"/>
    </w:pPr>
    <w:rPr>
      <w:rFonts w:ascii="Arial" w:eastAsiaTheme="minorHAnsi" w:hAnsi="Arial" w:cs="Arial"/>
      <w:color w:val="auto"/>
      <w:sz w:val="18"/>
      <w:szCs w:val="18"/>
      <w:lang w:val="ru-RU" w:eastAsia="en-US"/>
    </w:rPr>
  </w:style>
  <w:style w:type="paragraph" w:customStyle="1" w:styleId="201">
    <w:name w:val="Основной текст (20)1"/>
    <w:basedOn w:val="a"/>
    <w:link w:val="20"/>
    <w:uiPriority w:val="99"/>
    <w:rsid w:val="00D24980"/>
    <w:pPr>
      <w:shd w:val="clear" w:color="auto" w:fill="FFFFFF"/>
      <w:spacing w:line="240" w:lineRule="atLeast"/>
      <w:jc w:val="both"/>
    </w:pPr>
    <w:rPr>
      <w:rFonts w:ascii="Arial" w:eastAsiaTheme="minorHAnsi" w:hAnsi="Arial" w:cs="Arial"/>
      <w:b/>
      <w:bCs/>
      <w:color w:val="auto"/>
      <w:sz w:val="18"/>
      <w:szCs w:val="18"/>
      <w:lang w:val="ru-RU" w:eastAsia="en-US"/>
    </w:rPr>
  </w:style>
  <w:style w:type="character" w:customStyle="1" w:styleId="a5">
    <w:name w:val="Основной текст + Полужирный"/>
    <w:aliases w:val="Курсив4"/>
    <w:uiPriority w:val="99"/>
    <w:rsid w:val="00D24980"/>
    <w:rPr>
      <w:rFonts w:ascii="Arial" w:hAnsi="Arial" w:cs="Arial"/>
      <w:b/>
      <w:bCs/>
      <w:i/>
      <w:iCs/>
      <w:sz w:val="20"/>
      <w:szCs w:val="20"/>
    </w:rPr>
  </w:style>
  <w:style w:type="paragraph" w:styleId="a6">
    <w:name w:val="header"/>
    <w:basedOn w:val="a"/>
    <w:link w:val="a7"/>
    <w:uiPriority w:val="99"/>
    <w:unhideWhenUsed/>
    <w:rsid w:val="00560888"/>
    <w:pPr>
      <w:tabs>
        <w:tab w:val="center" w:pos="4677"/>
        <w:tab w:val="right" w:pos="9355"/>
      </w:tabs>
    </w:pPr>
  </w:style>
  <w:style w:type="character" w:customStyle="1" w:styleId="a7">
    <w:name w:val="Верхний колонтитул Знак"/>
    <w:basedOn w:val="a0"/>
    <w:link w:val="a6"/>
    <w:uiPriority w:val="99"/>
    <w:rsid w:val="00560888"/>
    <w:rPr>
      <w:rFonts w:ascii="Arial Unicode MS" w:eastAsia="Arial Unicode MS" w:hAnsi="Arial Unicode MS" w:cs="Arial Unicode MS"/>
      <w:color w:val="000000"/>
      <w:sz w:val="24"/>
      <w:szCs w:val="24"/>
      <w:lang w:val="uk-UA" w:eastAsia="uk-UA"/>
    </w:rPr>
  </w:style>
  <w:style w:type="paragraph" w:styleId="a8">
    <w:name w:val="footer"/>
    <w:basedOn w:val="a"/>
    <w:link w:val="a9"/>
    <w:uiPriority w:val="99"/>
    <w:unhideWhenUsed/>
    <w:rsid w:val="00560888"/>
    <w:pPr>
      <w:tabs>
        <w:tab w:val="center" w:pos="4677"/>
        <w:tab w:val="right" w:pos="9355"/>
      </w:tabs>
    </w:pPr>
  </w:style>
  <w:style w:type="character" w:customStyle="1" w:styleId="a9">
    <w:name w:val="Нижний колонтитул Знак"/>
    <w:basedOn w:val="a0"/>
    <w:link w:val="a8"/>
    <w:uiPriority w:val="99"/>
    <w:rsid w:val="00560888"/>
    <w:rPr>
      <w:rFonts w:ascii="Arial Unicode MS" w:eastAsia="Arial Unicode MS" w:hAnsi="Arial Unicode MS" w:cs="Arial Unicode MS"/>
      <w:color w:val="000000"/>
      <w:sz w:val="24"/>
      <w:szCs w:val="24"/>
      <w:lang w:val="uk-UA" w:eastAsia="uk-UA"/>
    </w:rPr>
  </w:style>
  <w:style w:type="paragraph" w:styleId="aa">
    <w:name w:val="List Paragraph"/>
    <w:basedOn w:val="a"/>
    <w:uiPriority w:val="34"/>
    <w:qFormat/>
    <w:rsid w:val="004C3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 Щербань</dc:creator>
  <cp:keywords/>
  <dc:description/>
  <cp:lastModifiedBy>Ирина И. Будько</cp:lastModifiedBy>
  <cp:revision>3</cp:revision>
  <dcterms:created xsi:type="dcterms:W3CDTF">2022-06-24T09:06:00Z</dcterms:created>
  <dcterms:modified xsi:type="dcterms:W3CDTF">2022-07-28T07:37:00Z</dcterms:modified>
</cp:coreProperties>
</file>