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888" w:rsidRPr="00D4356A" w:rsidRDefault="00560888" w:rsidP="00560888">
      <w:pPr>
        <w:spacing w:line="360" w:lineRule="auto"/>
        <w:outlineLvl w:val="1"/>
        <w:rPr>
          <w:rFonts w:ascii="Arial" w:hAnsi="Arial" w:cs="Arial"/>
          <w:sz w:val="20"/>
          <w:szCs w:val="20"/>
        </w:rPr>
      </w:pPr>
      <w:bookmarkStart w:id="0" w:name="_Toc356906091"/>
      <w:bookmarkStart w:id="1" w:name="_Toc361516821"/>
      <w:bookmarkStart w:id="2" w:name="_Toc361517035"/>
      <w:bookmarkStart w:id="3" w:name="_Toc376615847"/>
    </w:p>
    <w:p w:rsidR="00560888" w:rsidRPr="00D4356A" w:rsidRDefault="00BD5D5D" w:rsidP="00560888">
      <w:pPr>
        <w:spacing w:line="360" w:lineRule="auto"/>
        <w:jc w:val="center"/>
        <w:outlineLvl w:val="1"/>
        <w:rPr>
          <w:rFonts w:ascii="Arial" w:hAnsi="Arial" w:cs="Arial"/>
          <w:b/>
          <w:sz w:val="20"/>
          <w:szCs w:val="20"/>
        </w:rPr>
      </w:pPr>
      <w:r w:rsidRPr="00D4356A">
        <w:rPr>
          <w:rFonts w:ascii="Arial" w:hAnsi="Arial" w:cs="Arial"/>
          <w:b/>
          <w:sz w:val="20"/>
          <w:szCs w:val="20"/>
        </w:rPr>
        <w:t>ЗВІТ ПРО УПРАВЛІННЯ</w:t>
      </w:r>
      <w:r w:rsidR="002548C4" w:rsidRPr="00D4356A">
        <w:rPr>
          <w:rFonts w:ascii="Arial" w:hAnsi="Arial" w:cs="Arial"/>
          <w:b/>
          <w:sz w:val="20"/>
          <w:szCs w:val="20"/>
        </w:rPr>
        <w:t xml:space="preserve"> за 2023</w:t>
      </w:r>
      <w:r w:rsidR="0081726B" w:rsidRPr="00D4356A">
        <w:rPr>
          <w:rFonts w:ascii="Arial" w:hAnsi="Arial" w:cs="Arial"/>
          <w:b/>
          <w:sz w:val="20"/>
          <w:szCs w:val="20"/>
        </w:rPr>
        <w:t xml:space="preserve"> рік</w:t>
      </w:r>
    </w:p>
    <w:p w:rsidR="00560888" w:rsidRPr="00D4356A" w:rsidRDefault="00560888" w:rsidP="00560888">
      <w:pPr>
        <w:spacing w:line="360" w:lineRule="auto"/>
        <w:outlineLvl w:val="1"/>
        <w:rPr>
          <w:rFonts w:ascii="Arial" w:hAnsi="Arial" w:cs="Arial"/>
          <w:sz w:val="20"/>
          <w:szCs w:val="20"/>
        </w:rPr>
      </w:pPr>
    </w:p>
    <w:bookmarkEnd w:id="0"/>
    <w:bookmarkEnd w:id="1"/>
    <w:bookmarkEnd w:id="2"/>
    <w:bookmarkEnd w:id="3"/>
    <w:p w:rsidR="004D1BFC" w:rsidRPr="00D4356A" w:rsidRDefault="004C3014" w:rsidP="00560888">
      <w:pPr>
        <w:pStyle w:val="41"/>
        <w:numPr>
          <w:ilvl w:val="0"/>
          <w:numId w:val="1"/>
        </w:numPr>
        <w:tabs>
          <w:tab w:val="left" w:pos="284"/>
        </w:tabs>
        <w:spacing w:line="360" w:lineRule="auto"/>
        <w:ind w:left="0" w:firstLine="0"/>
        <w:outlineLvl w:val="1"/>
        <w:rPr>
          <w:lang w:val="uk-UA" w:eastAsia="uk-UA"/>
        </w:rPr>
      </w:pPr>
      <w:r w:rsidRPr="00D4356A">
        <w:rPr>
          <w:lang w:val="uk-UA" w:eastAsia="uk-UA"/>
        </w:rPr>
        <w:t>ОРГАНІЗАЦІЙНА СТРУКТУРА ТА ОПИС ДІЯЛЬНОСТІ</w:t>
      </w:r>
    </w:p>
    <w:p w:rsidR="004D1BFC" w:rsidRPr="00D4356A" w:rsidRDefault="004C3014" w:rsidP="00560888">
      <w:pPr>
        <w:pStyle w:val="a4"/>
        <w:spacing w:before="120" w:line="276" w:lineRule="auto"/>
        <w:ind w:right="-1"/>
        <w:jc w:val="both"/>
        <w:rPr>
          <w:lang w:eastAsia="uk-UA"/>
        </w:rPr>
      </w:pPr>
      <w:r w:rsidRPr="00D4356A">
        <w:rPr>
          <w:lang w:eastAsia="uk-UA"/>
        </w:rPr>
        <w:t xml:space="preserve"> Підприємство</w:t>
      </w:r>
      <w:r w:rsidR="004D1BFC" w:rsidRPr="00D4356A">
        <w:rPr>
          <w:lang w:eastAsia="uk-UA"/>
        </w:rPr>
        <w:t xml:space="preserve"> Пр</w:t>
      </w:r>
      <w:r w:rsidR="00D4356A" w:rsidRPr="00D4356A">
        <w:rPr>
          <w:lang w:eastAsia="uk-UA"/>
        </w:rPr>
        <w:t>иватне акціонерне товариство Фармацевтична фабрика</w:t>
      </w:r>
      <w:r w:rsidR="004D1BFC" w:rsidRPr="00D4356A">
        <w:rPr>
          <w:lang w:eastAsia="uk-UA"/>
        </w:rPr>
        <w:t xml:space="preserve"> «Віола»</w:t>
      </w:r>
      <w:r w:rsidR="00D4356A" w:rsidRPr="00D4356A">
        <w:rPr>
          <w:lang w:eastAsia="uk-UA"/>
        </w:rPr>
        <w:t xml:space="preserve"> (надалі Компанія)</w:t>
      </w:r>
      <w:r w:rsidR="004D1BFC" w:rsidRPr="00D4356A">
        <w:rPr>
          <w:lang w:eastAsia="uk-UA"/>
        </w:rPr>
        <w:t xml:space="preserve">  </w:t>
      </w:r>
      <w:r w:rsidRPr="00D4356A">
        <w:rPr>
          <w:lang w:eastAsia="uk-UA"/>
        </w:rPr>
        <w:t>створене</w:t>
      </w:r>
      <w:r w:rsidR="004D1BFC" w:rsidRPr="00D4356A">
        <w:rPr>
          <w:lang w:eastAsia="uk-UA"/>
        </w:rPr>
        <w:t xml:space="preserve"> в 1993 р. Основним напрямком діяльності є виро</w:t>
      </w:r>
      <w:r w:rsidRPr="00D4356A">
        <w:rPr>
          <w:lang w:eastAsia="uk-UA"/>
        </w:rPr>
        <w:t>бництво та оптова торгівля лікарськими засобами та виробами</w:t>
      </w:r>
      <w:r w:rsidR="004D1BFC" w:rsidRPr="00D4356A">
        <w:rPr>
          <w:lang w:eastAsia="uk-UA"/>
        </w:rPr>
        <w:t xml:space="preserve"> медичного призначення. Станом на 31 грудня </w:t>
      </w:r>
      <w:r w:rsidR="002548C4" w:rsidRPr="00D4356A">
        <w:rPr>
          <w:lang w:eastAsia="uk-UA"/>
        </w:rPr>
        <w:t xml:space="preserve"> 2023</w:t>
      </w:r>
      <w:r w:rsidR="004D1BFC" w:rsidRPr="00D4356A">
        <w:rPr>
          <w:lang w:eastAsia="uk-UA"/>
        </w:rPr>
        <w:t xml:space="preserve"> року виробництво</w:t>
      </w:r>
      <w:r w:rsidRPr="00D4356A">
        <w:rPr>
          <w:lang w:eastAsia="uk-UA"/>
        </w:rPr>
        <w:t xml:space="preserve"> </w:t>
      </w:r>
      <w:r w:rsidR="00D4356A" w:rsidRPr="00D4356A">
        <w:rPr>
          <w:lang w:eastAsia="uk-UA"/>
        </w:rPr>
        <w:t>Компанії</w:t>
      </w:r>
      <w:r w:rsidR="00F8359D" w:rsidRPr="00D4356A">
        <w:rPr>
          <w:lang w:eastAsia="uk-UA"/>
        </w:rPr>
        <w:t xml:space="preserve"> було представлено шістьма</w:t>
      </w:r>
      <w:r w:rsidR="004D1BFC" w:rsidRPr="00D4356A">
        <w:rPr>
          <w:lang w:eastAsia="uk-UA"/>
        </w:rPr>
        <w:t xml:space="preserve"> основними цехами, а саме: цех виробів медичного призначення, цех лікарсько-рослинної сировини, цех м'яких лікарських засобів, цех рідких лікарських засобів, цех фасування лікарських засобів</w:t>
      </w:r>
      <w:r w:rsidR="00F8359D" w:rsidRPr="00D4356A">
        <w:rPr>
          <w:lang w:eastAsia="uk-UA"/>
        </w:rPr>
        <w:t xml:space="preserve">, цех твердих лікарських засобів </w:t>
      </w:r>
      <w:r w:rsidR="004D1BFC" w:rsidRPr="00D4356A">
        <w:rPr>
          <w:lang w:eastAsia="uk-UA"/>
        </w:rPr>
        <w:t xml:space="preserve"> які знаходяться  в м. Запоріжжя.</w:t>
      </w:r>
    </w:p>
    <w:p w:rsidR="004D1BFC" w:rsidRPr="00D4356A" w:rsidRDefault="004D1BFC" w:rsidP="004D1BFC">
      <w:pPr>
        <w:spacing w:before="120" w:line="276" w:lineRule="auto"/>
        <w:rPr>
          <w:rFonts w:ascii="Arial" w:hAnsi="Arial" w:cs="Arial"/>
          <w:sz w:val="20"/>
          <w:szCs w:val="20"/>
        </w:rPr>
      </w:pPr>
      <w:r w:rsidRPr="00D4356A">
        <w:rPr>
          <w:rFonts w:ascii="Arial" w:hAnsi="Arial" w:cs="Arial"/>
          <w:sz w:val="20"/>
          <w:szCs w:val="20"/>
        </w:rPr>
        <w:t xml:space="preserve">Головний офіс </w:t>
      </w:r>
      <w:r w:rsidR="00D24980" w:rsidRPr="00D4356A">
        <w:rPr>
          <w:rFonts w:ascii="Arial" w:hAnsi="Arial" w:cs="Arial"/>
          <w:sz w:val="20"/>
          <w:szCs w:val="20"/>
        </w:rPr>
        <w:t xml:space="preserve">компанії </w:t>
      </w:r>
      <w:r w:rsidRPr="00D4356A">
        <w:rPr>
          <w:rFonts w:ascii="Arial" w:hAnsi="Arial" w:cs="Arial"/>
          <w:sz w:val="20"/>
          <w:szCs w:val="20"/>
        </w:rPr>
        <w:t xml:space="preserve"> знаходиться за адресою: вул. Складська, 4, м. Запоріжжя, Україна.</w:t>
      </w:r>
    </w:p>
    <w:p w:rsidR="004D1BFC" w:rsidRPr="00D4356A" w:rsidRDefault="004D1BFC" w:rsidP="004D1BFC">
      <w:pPr>
        <w:spacing w:before="120" w:line="276" w:lineRule="auto"/>
        <w:jc w:val="both"/>
        <w:rPr>
          <w:rFonts w:ascii="Arial" w:hAnsi="Arial" w:cs="Arial"/>
          <w:sz w:val="20"/>
          <w:szCs w:val="20"/>
        </w:rPr>
      </w:pPr>
      <w:r w:rsidRPr="00D4356A">
        <w:rPr>
          <w:rFonts w:ascii="Arial" w:hAnsi="Arial" w:cs="Arial"/>
          <w:sz w:val="20"/>
          <w:szCs w:val="20"/>
        </w:rPr>
        <w:t xml:space="preserve">Середньооблікова кількість працівників за роки, які закінчилися  31 грудня  </w:t>
      </w:r>
      <w:r w:rsidR="002548C4" w:rsidRPr="00D4356A">
        <w:rPr>
          <w:rFonts w:ascii="Arial" w:hAnsi="Arial" w:cs="Arial"/>
          <w:sz w:val="20"/>
          <w:szCs w:val="20"/>
        </w:rPr>
        <w:t>2023 року та 31 грудня 2022</w:t>
      </w:r>
      <w:r w:rsidRPr="00D4356A">
        <w:rPr>
          <w:rFonts w:ascii="Arial" w:hAnsi="Arial" w:cs="Arial"/>
          <w:sz w:val="20"/>
          <w:szCs w:val="20"/>
        </w:rPr>
        <w:t xml:space="preserve"> року </w:t>
      </w:r>
      <w:r w:rsidR="002548C4" w:rsidRPr="00D4356A">
        <w:rPr>
          <w:rFonts w:ascii="Arial" w:hAnsi="Arial" w:cs="Arial"/>
          <w:color w:val="auto"/>
          <w:sz w:val="20"/>
          <w:szCs w:val="20"/>
        </w:rPr>
        <w:t>була  403 та 399</w:t>
      </w:r>
      <w:r w:rsidRPr="00D4356A">
        <w:rPr>
          <w:rFonts w:ascii="Arial" w:hAnsi="Arial" w:cs="Arial"/>
          <w:color w:val="auto"/>
          <w:sz w:val="20"/>
          <w:szCs w:val="20"/>
        </w:rPr>
        <w:t xml:space="preserve"> </w:t>
      </w:r>
      <w:r w:rsidRPr="00D4356A">
        <w:rPr>
          <w:rFonts w:ascii="Arial" w:hAnsi="Arial" w:cs="Arial"/>
          <w:sz w:val="20"/>
          <w:szCs w:val="20"/>
        </w:rPr>
        <w:t>особи відповідно.</w:t>
      </w:r>
    </w:p>
    <w:p w:rsidR="004C3014" w:rsidRPr="00D4356A" w:rsidRDefault="004C3014" w:rsidP="004C3014">
      <w:pPr>
        <w:pStyle w:val="ab"/>
        <w:numPr>
          <w:ilvl w:val="0"/>
          <w:numId w:val="1"/>
        </w:numPr>
        <w:spacing w:before="120" w:line="276" w:lineRule="auto"/>
        <w:jc w:val="both"/>
        <w:rPr>
          <w:rFonts w:ascii="Arial" w:hAnsi="Arial" w:cs="Arial"/>
          <w:b/>
          <w:sz w:val="20"/>
          <w:szCs w:val="20"/>
        </w:rPr>
      </w:pPr>
      <w:r w:rsidRPr="00D4356A">
        <w:rPr>
          <w:rFonts w:ascii="Arial" w:hAnsi="Arial" w:cs="Arial"/>
          <w:b/>
          <w:sz w:val="20"/>
          <w:szCs w:val="20"/>
        </w:rPr>
        <w:t>РЕЗУЛЬТАТИ ДІЯЛЬНОСТІ</w:t>
      </w:r>
    </w:p>
    <w:p w:rsidR="005076F8" w:rsidRPr="00D4356A" w:rsidRDefault="005076F8" w:rsidP="005076F8">
      <w:pPr>
        <w:spacing w:before="120" w:line="276" w:lineRule="auto"/>
        <w:jc w:val="both"/>
        <w:rPr>
          <w:rFonts w:ascii="Arial" w:hAnsi="Arial" w:cs="Arial"/>
          <w:b/>
          <w:sz w:val="20"/>
          <w:szCs w:val="20"/>
        </w:rPr>
      </w:pPr>
    </w:p>
    <w:p w:rsidR="005076F8" w:rsidRPr="00D4356A" w:rsidRDefault="005076F8" w:rsidP="005076F8">
      <w:pPr>
        <w:jc w:val="center"/>
        <w:rPr>
          <w:rFonts w:ascii="Arial" w:hAnsi="Arial" w:cs="Arial"/>
          <w:b/>
          <w:sz w:val="20"/>
          <w:szCs w:val="20"/>
        </w:rPr>
      </w:pPr>
      <w:r w:rsidRPr="00D4356A">
        <w:rPr>
          <w:rFonts w:ascii="Arial" w:hAnsi="Arial" w:cs="Arial"/>
          <w:b/>
          <w:sz w:val="20"/>
          <w:szCs w:val="20"/>
        </w:rPr>
        <w:t>Основні показники фінансово-господарської діяльності (тис. грн.)</w:t>
      </w:r>
    </w:p>
    <w:p w:rsidR="005076F8" w:rsidRPr="00D4356A" w:rsidRDefault="005076F8" w:rsidP="005076F8">
      <w:pPr>
        <w:jc w:val="center"/>
        <w:rPr>
          <w:rFonts w:ascii="Arial" w:hAnsi="Arial" w:cs="Arial"/>
          <w:b/>
          <w:sz w:val="20"/>
          <w:szCs w:val="20"/>
        </w:rPr>
      </w:pPr>
    </w:p>
    <w:tbl>
      <w:tblPr>
        <w:tblpPr w:leftFromText="180" w:rightFromText="180" w:bottomFromText="115"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0"/>
        <w:gridCol w:w="2745"/>
        <w:gridCol w:w="2910"/>
      </w:tblGrid>
      <w:tr w:rsidR="005076F8" w:rsidRPr="00D4356A" w:rsidTr="00FD1070">
        <w:trPr>
          <w:cantSplit/>
          <w:trHeight w:val="340"/>
        </w:trPr>
        <w:tc>
          <w:tcPr>
            <w:tcW w:w="3680" w:type="dxa"/>
            <w:vMerge w:val="restart"/>
            <w:tcMar>
              <w:top w:w="0" w:type="dxa"/>
              <w:left w:w="108" w:type="dxa"/>
              <w:bottom w:w="0" w:type="dxa"/>
              <w:right w:w="108" w:type="dxa"/>
            </w:tcMar>
          </w:tcPr>
          <w:p w:rsidR="005076F8" w:rsidRPr="00D4356A" w:rsidRDefault="005076F8" w:rsidP="007663AB">
            <w:pPr>
              <w:spacing w:line="276" w:lineRule="auto"/>
              <w:jc w:val="center"/>
              <w:rPr>
                <w:rFonts w:ascii="Arial" w:hAnsi="Arial" w:cs="Arial"/>
                <w:b/>
                <w:bCs/>
                <w:sz w:val="20"/>
                <w:szCs w:val="20"/>
              </w:rPr>
            </w:pPr>
          </w:p>
          <w:p w:rsidR="005076F8" w:rsidRPr="00D4356A" w:rsidRDefault="005076F8" w:rsidP="007663AB">
            <w:pPr>
              <w:spacing w:line="276" w:lineRule="auto"/>
              <w:jc w:val="center"/>
              <w:rPr>
                <w:rFonts w:ascii="Arial" w:hAnsi="Arial" w:cs="Arial"/>
                <w:b/>
                <w:bCs/>
                <w:sz w:val="20"/>
                <w:szCs w:val="20"/>
              </w:rPr>
            </w:pPr>
            <w:r w:rsidRPr="00D4356A">
              <w:rPr>
                <w:rFonts w:ascii="Arial" w:hAnsi="Arial" w:cs="Arial"/>
                <w:b/>
                <w:bCs/>
                <w:sz w:val="20"/>
                <w:szCs w:val="20"/>
              </w:rPr>
              <w:t>Найменування показника</w:t>
            </w:r>
          </w:p>
        </w:tc>
        <w:tc>
          <w:tcPr>
            <w:tcW w:w="5655" w:type="dxa"/>
            <w:gridSpan w:val="2"/>
            <w:tcMar>
              <w:top w:w="0" w:type="dxa"/>
              <w:left w:w="108" w:type="dxa"/>
              <w:bottom w:w="0" w:type="dxa"/>
              <w:right w:w="108" w:type="dxa"/>
            </w:tcMar>
            <w:hideMark/>
          </w:tcPr>
          <w:p w:rsidR="005076F8" w:rsidRPr="00D4356A" w:rsidRDefault="005076F8" w:rsidP="007663AB">
            <w:pPr>
              <w:spacing w:line="276" w:lineRule="auto"/>
              <w:jc w:val="center"/>
              <w:rPr>
                <w:rFonts w:ascii="Arial" w:hAnsi="Arial" w:cs="Arial"/>
                <w:b/>
                <w:bCs/>
                <w:sz w:val="20"/>
                <w:szCs w:val="20"/>
              </w:rPr>
            </w:pPr>
            <w:r w:rsidRPr="00D4356A">
              <w:rPr>
                <w:rFonts w:ascii="Arial" w:hAnsi="Arial" w:cs="Arial"/>
                <w:b/>
                <w:bCs/>
                <w:sz w:val="20"/>
                <w:szCs w:val="20"/>
              </w:rPr>
              <w:t>період </w:t>
            </w:r>
          </w:p>
        </w:tc>
      </w:tr>
      <w:tr w:rsidR="005076F8" w:rsidRPr="00D4356A" w:rsidTr="00FD1070">
        <w:trPr>
          <w:cantSplit/>
          <w:trHeight w:val="552"/>
        </w:trPr>
        <w:tc>
          <w:tcPr>
            <w:tcW w:w="3680" w:type="dxa"/>
            <w:vMerge/>
            <w:vAlign w:val="center"/>
            <w:hideMark/>
          </w:tcPr>
          <w:p w:rsidR="005076F8" w:rsidRPr="00D4356A" w:rsidRDefault="005076F8" w:rsidP="007663AB">
            <w:pPr>
              <w:rPr>
                <w:rFonts w:ascii="Arial" w:hAnsi="Arial" w:cs="Arial"/>
                <w:b/>
                <w:bCs/>
                <w:sz w:val="20"/>
                <w:szCs w:val="20"/>
              </w:rPr>
            </w:pPr>
          </w:p>
        </w:tc>
        <w:tc>
          <w:tcPr>
            <w:tcW w:w="2745" w:type="dxa"/>
            <w:tcMar>
              <w:top w:w="0" w:type="dxa"/>
              <w:left w:w="108" w:type="dxa"/>
              <w:bottom w:w="0" w:type="dxa"/>
              <w:right w:w="108" w:type="dxa"/>
            </w:tcMar>
            <w:hideMark/>
          </w:tcPr>
          <w:p w:rsidR="005076F8" w:rsidRPr="00D4356A" w:rsidRDefault="002548C4" w:rsidP="007663AB">
            <w:pPr>
              <w:spacing w:line="276" w:lineRule="auto"/>
              <w:jc w:val="center"/>
              <w:rPr>
                <w:rFonts w:ascii="Arial" w:hAnsi="Arial" w:cs="Arial"/>
                <w:b/>
                <w:bCs/>
                <w:sz w:val="20"/>
                <w:szCs w:val="20"/>
              </w:rPr>
            </w:pPr>
            <w:r w:rsidRPr="00D4356A">
              <w:rPr>
                <w:rFonts w:ascii="Arial" w:hAnsi="Arial" w:cs="Arial"/>
                <w:b/>
                <w:bCs/>
                <w:sz w:val="20"/>
                <w:szCs w:val="20"/>
              </w:rPr>
              <w:t>2023</w:t>
            </w:r>
            <w:r w:rsidR="005076F8" w:rsidRPr="00D4356A">
              <w:rPr>
                <w:rFonts w:ascii="Arial" w:hAnsi="Arial" w:cs="Arial"/>
                <w:b/>
                <w:bCs/>
                <w:sz w:val="20"/>
                <w:szCs w:val="20"/>
              </w:rPr>
              <w:t xml:space="preserve"> рік</w:t>
            </w:r>
          </w:p>
        </w:tc>
        <w:tc>
          <w:tcPr>
            <w:tcW w:w="2910" w:type="dxa"/>
            <w:tcMar>
              <w:top w:w="0" w:type="dxa"/>
              <w:left w:w="108" w:type="dxa"/>
              <w:bottom w:w="0" w:type="dxa"/>
              <w:right w:w="108" w:type="dxa"/>
            </w:tcMar>
            <w:hideMark/>
          </w:tcPr>
          <w:p w:rsidR="005076F8" w:rsidRPr="00D4356A" w:rsidRDefault="002548C4" w:rsidP="007663AB">
            <w:pPr>
              <w:spacing w:line="276" w:lineRule="auto"/>
              <w:jc w:val="center"/>
              <w:rPr>
                <w:rFonts w:ascii="Arial" w:hAnsi="Arial" w:cs="Arial"/>
                <w:b/>
                <w:bCs/>
                <w:sz w:val="20"/>
                <w:szCs w:val="20"/>
              </w:rPr>
            </w:pPr>
            <w:r w:rsidRPr="00D4356A">
              <w:rPr>
                <w:rFonts w:ascii="Arial" w:hAnsi="Arial" w:cs="Arial"/>
                <w:b/>
                <w:bCs/>
                <w:sz w:val="20"/>
                <w:szCs w:val="20"/>
              </w:rPr>
              <w:t>2022</w:t>
            </w:r>
            <w:r w:rsidR="005076F8" w:rsidRPr="00D4356A">
              <w:rPr>
                <w:rFonts w:ascii="Arial" w:hAnsi="Arial" w:cs="Arial"/>
                <w:b/>
                <w:bCs/>
                <w:sz w:val="20"/>
                <w:szCs w:val="20"/>
              </w:rPr>
              <w:t xml:space="preserve"> рік</w:t>
            </w:r>
          </w:p>
        </w:tc>
      </w:tr>
      <w:tr w:rsidR="005076F8" w:rsidRPr="00D4356A" w:rsidTr="000E17BD">
        <w:trPr>
          <w:trHeight w:val="249"/>
        </w:trPr>
        <w:tc>
          <w:tcPr>
            <w:tcW w:w="3680" w:type="dxa"/>
            <w:tcMar>
              <w:top w:w="0" w:type="dxa"/>
              <w:left w:w="108" w:type="dxa"/>
              <w:bottom w:w="0" w:type="dxa"/>
              <w:right w:w="108" w:type="dxa"/>
            </w:tcMar>
            <w:hideMark/>
          </w:tcPr>
          <w:p w:rsidR="005076F8" w:rsidRPr="00D4356A" w:rsidRDefault="005076F8" w:rsidP="007663AB">
            <w:pPr>
              <w:spacing w:line="276" w:lineRule="auto"/>
              <w:rPr>
                <w:rFonts w:ascii="Arial" w:hAnsi="Arial" w:cs="Arial"/>
                <w:sz w:val="20"/>
                <w:szCs w:val="20"/>
              </w:rPr>
            </w:pPr>
            <w:r w:rsidRPr="00D4356A">
              <w:rPr>
                <w:rFonts w:ascii="Arial" w:hAnsi="Arial" w:cs="Arial"/>
                <w:sz w:val="20"/>
                <w:szCs w:val="20"/>
              </w:rPr>
              <w:t xml:space="preserve">Усього активів </w:t>
            </w:r>
          </w:p>
        </w:tc>
        <w:tc>
          <w:tcPr>
            <w:tcW w:w="2745" w:type="dxa"/>
            <w:tcMar>
              <w:top w:w="0" w:type="dxa"/>
              <w:left w:w="108" w:type="dxa"/>
              <w:bottom w:w="0" w:type="dxa"/>
              <w:right w:w="108" w:type="dxa"/>
            </w:tcMar>
          </w:tcPr>
          <w:p w:rsidR="005076F8" w:rsidRPr="00D4356A" w:rsidRDefault="002548C4" w:rsidP="00FD1070">
            <w:pPr>
              <w:jc w:val="center"/>
              <w:rPr>
                <w:rFonts w:ascii="Arial" w:hAnsi="Arial" w:cs="Arial"/>
                <w:sz w:val="20"/>
                <w:szCs w:val="20"/>
              </w:rPr>
            </w:pPr>
            <w:r w:rsidRPr="00D4356A">
              <w:rPr>
                <w:rFonts w:ascii="Arial" w:hAnsi="Arial" w:cs="Arial"/>
                <w:sz w:val="20"/>
                <w:szCs w:val="20"/>
              </w:rPr>
              <w:t>410 386</w:t>
            </w:r>
          </w:p>
        </w:tc>
        <w:tc>
          <w:tcPr>
            <w:tcW w:w="2910" w:type="dxa"/>
            <w:tcMar>
              <w:top w:w="0" w:type="dxa"/>
              <w:left w:w="108" w:type="dxa"/>
              <w:bottom w:w="0" w:type="dxa"/>
              <w:right w:w="108" w:type="dxa"/>
            </w:tcMar>
          </w:tcPr>
          <w:p w:rsidR="005076F8" w:rsidRPr="00D4356A" w:rsidRDefault="002548C4" w:rsidP="00FD1070">
            <w:pPr>
              <w:jc w:val="center"/>
              <w:rPr>
                <w:rFonts w:ascii="Arial" w:hAnsi="Arial" w:cs="Arial"/>
                <w:sz w:val="20"/>
                <w:szCs w:val="20"/>
              </w:rPr>
            </w:pPr>
            <w:r w:rsidRPr="00D4356A">
              <w:rPr>
                <w:rFonts w:ascii="Arial" w:hAnsi="Arial" w:cs="Arial"/>
                <w:sz w:val="20"/>
                <w:szCs w:val="20"/>
              </w:rPr>
              <w:t>344 014</w:t>
            </w:r>
          </w:p>
        </w:tc>
      </w:tr>
      <w:tr w:rsidR="005076F8" w:rsidRPr="00D4356A" w:rsidTr="000E17BD">
        <w:trPr>
          <w:cantSplit/>
          <w:trHeight w:val="280"/>
        </w:trPr>
        <w:tc>
          <w:tcPr>
            <w:tcW w:w="3680" w:type="dxa"/>
            <w:tcMar>
              <w:top w:w="0" w:type="dxa"/>
              <w:left w:w="108" w:type="dxa"/>
              <w:bottom w:w="0" w:type="dxa"/>
              <w:right w:w="108" w:type="dxa"/>
            </w:tcMar>
            <w:hideMark/>
          </w:tcPr>
          <w:p w:rsidR="005076F8" w:rsidRPr="00D4356A" w:rsidRDefault="005076F8" w:rsidP="007663AB">
            <w:pPr>
              <w:spacing w:line="276" w:lineRule="auto"/>
              <w:rPr>
                <w:rFonts w:ascii="Arial" w:hAnsi="Arial" w:cs="Arial"/>
                <w:sz w:val="20"/>
                <w:szCs w:val="20"/>
              </w:rPr>
            </w:pPr>
            <w:r w:rsidRPr="00D4356A">
              <w:rPr>
                <w:rFonts w:ascii="Arial" w:hAnsi="Arial" w:cs="Arial"/>
                <w:sz w:val="20"/>
                <w:szCs w:val="20"/>
              </w:rPr>
              <w:t>Основні засоби  </w:t>
            </w:r>
          </w:p>
        </w:tc>
        <w:tc>
          <w:tcPr>
            <w:tcW w:w="2745" w:type="dxa"/>
            <w:tcMar>
              <w:top w:w="0" w:type="dxa"/>
              <w:left w:w="108" w:type="dxa"/>
              <w:bottom w:w="0" w:type="dxa"/>
              <w:right w:w="108" w:type="dxa"/>
            </w:tcMar>
          </w:tcPr>
          <w:p w:rsidR="005076F8" w:rsidRPr="00D4356A" w:rsidRDefault="002548C4" w:rsidP="00FD1070">
            <w:pPr>
              <w:jc w:val="center"/>
              <w:rPr>
                <w:rFonts w:ascii="Arial" w:hAnsi="Arial" w:cs="Arial"/>
                <w:sz w:val="20"/>
                <w:szCs w:val="20"/>
              </w:rPr>
            </w:pPr>
            <w:r w:rsidRPr="00D4356A">
              <w:rPr>
                <w:rFonts w:ascii="Arial" w:hAnsi="Arial" w:cs="Arial"/>
                <w:sz w:val="20"/>
                <w:szCs w:val="20"/>
              </w:rPr>
              <w:t>35 385</w:t>
            </w:r>
          </w:p>
        </w:tc>
        <w:tc>
          <w:tcPr>
            <w:tcW w:w="2910" w:type="dxa"/>
          </w:tcPr>
          <w:p w:rsidR="005076F8" w:rsidRPr="00D4356A" w:rsidRDefault="002548C4" w:rsidP="00FD1070">
            <w:pPr>
              <w:jc w:val="center"/>
              <w:rPr>
                <w:rFonts w:ascii="Arial" w:hAnsi="Arial" w:cs="Arial"/>
                <w:sz w:val="20"/>
                <w:szCs w:val="20"/>
              </w:rPr>
            </w:pPr>
            <w:r w:rsidRPr="00D4356A">
              <w:rPr>
                <w:rFonts w:ascii="Arial" w:hAnsi="Arial" w:cs="Arial"/>
                <w:sz w:val="20"/>
                <w:szCs w:val="20"/>
              </w:rPr>
              <w:t>37 498</w:t>
            </w:r>
          </w:p>
        </w:tc>
      </w:tr>
      <w:tr w:rsidR="005076F8" w:rsidRPr="00D4356A" w:rsidTr="000E17BD">
        <w:trPr>
          <w:trHeight w:val="340"/>
        </w:trPr>
        <w:tc>
          <w:tcPr>
            <w:tcW w:w="3680" w:type="dxa"/>
            <w:tcMar>
              <w:top w:w="0" w:type="dxa"/>
              <w:left w:w="108" w:type="dxa"/>
              <w:bottom w:w="0" w:type="dxa"/>
              <w:right w:w="108" w:type="dxa"/>
            </w:tcMar>
            <w:hideMark/>
          </w:tcPr>
          <w:p w:rsidR="005076F8" w:rsidRPr="00D4356A" w:rsidRDefault="005076F8" w:rsidP="007663AB">
            <w:pPr>
              <w:spacing w:line="276" w:lineRule="auto"/>
              <w:rPr>
                <w:rFonts w:ascii="Arial" w:hAnsi="Arial" w:cs="Arial"/>
                <w:sz w:val="20"/>
                <w:szCs w:val="20"/>
              </w:rPr>
            </w:pPr>
            <w:r w:rsidRPr="00D4356A">
              <w:rPr>
                <w:rFonts w:ascii="Arial" w:hAnsi="Arial" w:cs="Arial"/>
                <w:sz w:val="20"/>
                <w:szCs w:val="20"/>
              </w:rPr>
              <w:t>Довгострокові фінансові інвестиції  </w:t>
            </w:r>
          </w:p>
        </w:tc>
        <w:tc>
          <w:tcPr>
            <w:tcW w:w="2745" w:type="dxa"/>
            <w:tcMar>
              <w:top w:w="0" w:type="dxa"/>
              <w:left w:w="108" w:type="dxa"/>
              <w:bottom w:w="0" w:type="dxa"/>
              <w:right w:w="108" w:type="dxa"/>
            </w:tcMar>
          </w:tcPr>
          <w:p w:rsidR="005076F8" w:rsidRPr="00D4356A" w:rsidRDefault="005076F8" w:rsidP="00FD1070">
            <w:pPr>
              <w:jc w:val="center"/>
              <w:rPr>
                <w:rFonts w:ascii="Arial" w:hAnsi="Arial" w:cs="Arial"/>
                <w:sz w:val="20"/>
                <w:szCs w:val="20"/>
              </w:rPr>
            </w:pPr>
          </w:p>
        </w:tc>
        <w:tc>
          <w:tcPr>
            <w:tcW w:w="2910" w:type="dxa"/>
            <w:tcMar>
              <w:top w:w="0" w:type="dxa"/>
              <w:left w:w="108" w:type="dxa"/>
              <w:bottom w:w="0" w:type="dxa"/>
              <w:right w:w="108" w:type="dxa"/>
            </w:tcMar>
          </w:tcPr>
          <w:p w:rsidR="005076F8" w:rsidRPr="00D4356A" w:rsidRDefault="005076F8" w:rsidP="00FD1070">
            <w:pPr>
              <w:jc w:val="center"/>
              <w:rPr>
                <w:rFonts w:ascii="Arial" w:hAnsi="Arial" w:cs="Arial"/>
                <w:sz w:val="20"/>
                <w:szCs w:val="20"/>
              </w:rPr>
            </w:pPr>
          </w:p>
        </w:tc>
      </w:tr>
      <w:tr w:rsidR="005076F8" w:rsidRPr="00D4356A" w:rsidTr="000E17BD">
        <w:trPr>
          <w:trHeight w:val="340"/>
        </w:trPr>
        <w:tc>
          <w:tcPr>
            <w:tcW w:w="3680" w:type="dxa"/>
            <w:tcMar>
              <w:top w:w="0" w:type="dxa"/>
              <w:left w:w="108" w:type="dxa"/>
              <w:bottom w:w="0" w:type="dxa"/>
              <w:right w:w="108" w:type="dxa"/>
            </w:tcMar>
            <w:hideMark/>
          </w:tcPr>
          <w:p w:rsidR="005076F8" w:rsidRPr="00D4356A" w:rsidRDefault="005076F8" w:rsidP="007663AB">
            <w:pPr>
              <w:spacing w:line="276" w:lineRule="auto"/>
              <w:rPr>
                <w:rFonts w:ascii="Arial" w:hAnsi="Arial" w:cs="Arial"/>
                <w:sz w:val="20"/>
                <w:szCs w:val="20"/>
              </w:rPr>
            </w:pPr>
            <w:r w:rsidRPr="00D4356A">
              <w:rPr>
                <w:rFonts w:ascii="Arial" w:hAnsi="Arial" w:cs="Arial"/>
                <w:sz w:val="20"/>
                <w:szCs w:val="20"/>
              </w:rPr>
              <w:t>Запаси </w:t>
            </w:r>
          </w:p>
        </w:tc>
        <w:tc>
          <w:tcPr>
            <w:tcW w:w="2745" w:type="dxa"/>
            <w:tcMar>
              <w:top w:w="0" w:type="dxa"/>
              <w:left w:w="108" w:type="dxa"/>
              <w:bottom w:w="0" w:type="dxa"/>
              <w:right w:w="108" w:type="dxa"/>
            </w:tcMar>
          </w:tcPr>
          <w:p w:rsidR="005076F8" w:rsidRPr="00D4356A" w:rsidRDefault="002548C4" w:rsidP="00FD1070">
            <w:pPr>
              <w:jc w:val="center"/>
              <w:rPr>
                <w:rFonts w:ascii="Arial" w:hAnsi="Arial" w:cs="Arial"/>
                <w:sz w:val="20"/>
                <w:szCs w:val="20"/>
              </w:rPr>
            </w:pPr>
            <w:r w:rsidRPr="00D4356A">
              <w:rPr>
                <w:rFonts w:ascii="Arial" w:hAnsi="Arial" w:cs="Arial"/>
                <w:sz w:val="20"/>
                <w:szCs w:val="20"/>
              </w:rPr>
              <w:t>124 246</w:t>
            </w:r>
          </w:p>
        </w:tc>
        <w:tc>
          <w:tcPr>
            <w:tcW w:w="2910" w:type="dxa"/>
            <w:tcMar>
              <w:top w:w="0" w:type="dxa"/>
              <w:left w:w="108" w:type="dxa"/>
              <w:bottom w:w="0" w:type="dxa"/>
              <w:right w:w="108" w:type="dxa"/>
            </w:tcMar>
          </w:tcPr>
          <w:p w:rsidR="005076F8" w:rsidRPr="00D4356A" w:rsidRDefault="002548C4" w:rsidP="00FD1070">
            <w:pPr>
              <w:jc w:val="center"/>
              <w:rPr>
                <w:rFonts w:ascii="Arial" w:hAnsi="Arial" w:cs="Arial"/>
                <w:sz w:val="20"/>
                <w:szCs w:val="20"/>
              </w:rPr>
            </w:pPr>
            <w:r w:rsidRPr="00D4356A">
              <w:rPr>
                <w:rFonts w:ascii="Arial" w:hAnsi="Arial" w:cs="Arial"/>
                <w:sz w:val="20"/>
                <w:szCs w:val="20"/>
              </w:rPr>
              <w:t>101 593</w:t>
            </w:r>
          </w:p>
        </w:tc>
      </w:tr>
      <w:tr w:rsidR="005076F8" w:rsidRPr="00D4356A" w:rsidTr="000E17BD">
        <w:trPr>
          <w:trHeight w:val="340"/>
        </w:trPr>
        <w:tc>
          <w:tcPr>
            <w:tcW w:w="3680" w:type="dxa"/>
            <w:tcMar>
              <w:top w:w="0" w:type="dxa"/>
              <w:left w:w="108" w:type="dxa"/>
              <w:bottom w:w="0" w:type="dxa"/>
              <w:right w:w="108" w:type="dxa"/>
            </w:tcMar>
            <w:hideMark/>
          </w:tcPr>
          <w:p w:rsidR="005076F8" w:rsidRPr="00D4356A" w:rsidRDefault="005076F8" w:rsidP="007663AB">
            <w:pPr>
              <w:spacing w:line="276" w:lineRule="auto"/>
              <w:rPr>
                <w:rFonts w:ascii="Arial" w:hAnsi="Arial" w:cs="Arial"/>
                <w:sz w:val="20"/>
                <w:szCs w:val="20"/>
              </w:rPr>
            </w:pPr>
            <w:r w:rsidRPr="00D4356A">
              <w:rPr>
                <w:rFonts w:ascii="Arial" w:hAnsi="Arial" w:cs="Arial"/>
                <w:sz w:val="20"/>
                <w:szCs w:val="20"/>
              </w:rPr>
              <w:t>Сумарна дебіторська заборгованість  </w:t>
            </w:r>
          </w:p>
        </w:tc>
        <w:tc>
          <w:tcPr>
            <w:tcW w:w="2745" w:type="dxa"/>
            <w:tcMar>
              <w:top w:w="0" w:type="dxa"/>
              <w:left w:w="108" w:type="dxa"/>
              <w:bottom w:w="0" w:type="dxa"/>
              <w:right w:w="108" w:type="dxa"/>
            </w:tcMar>
          </w:tcPr>
          <w:p w:rsidR="005076F8" w:rsidRPr="00D4356A" w:rsidRDefault="002548C4" w:rsidP="00FD1070">
            <w:pPr>
              <w:jc w:val="center"/>
              <w:rPr>
                <w:rFonts w:ascii="Arial" w:hAnsi="Arial" w:cs="Arial"/>
                <w:sz w:val="20"/>
                <w:szCs w:val="20"/>
              </w:rPr>
            </w:pPr>
            <w:r w:rsidRPr="00D4356A">
              <w:rPr>
                <w:rFonts w:ascii="Arial" w:hAnsi="Arial" w:cs="Arial"/>
                <w:sz w:val="20"/>
                <w:szCs w:val="20"/>
              </w:rPr>
              <w:t>230 717</w:t>
            </w:r>
          </w:p>
        </w:tc>
        <w:tc>
          <w:tcPr>
            <w:tcW w:w="2910" w:type="dxa"/>
            <w:tcMar>
              <w:top w:w="0" w:type="dxa"/>
              <w:left w:w="108" w:type="dxa"/>
              <w:bottom w:w="0" w:type="dxa"/>
              <w:right w:w="108" w:type="dxa"/>
            </w:tcMar>
          </w:tcPr>
          <w:p w:rsidR="005076F8" w:rsidRPr="00D4356A" w:rsidRDefault="002548C4" w:rsidP="00FD1070">
            <w:pPr>
              <w:jc w:val="center"/>
              <w:rPr>
                <w:rFonts w:ascii="Arial" w:hAnsi="Arial" w:cs="Arial"/>
                <w:sz w:val="20"/>
                <w:szCs w:val="20"/>
              </w:rPr>
            </w:pPr>
            <w:r w:rsidRPr="00D4356A">
              <w:rPr>
                <w:rFonts w:ascii="Arial" w:hAnsi="Arial" w:cs="Arial"/>
                <w:sz w:val="20"/>
                <w:szCs w:val="20"/>
              </w:rPr>
              <w:t>197 001</w:t>
            </w:r>
          </w:p>
        </w:tc>
      </w:tr>
      <w:tr w:rsidR="005076F8" w:rsidRPr="00D4356A" w:rsidTr="000E17BD">
        <w:trPr>
          <w:trHeight w:val="340"/>
        </w:trPr>
        <w:tc>
          <w:tcPr>
            <w:tcW w:w="3680" w:type="dxa"/>
            <w:tcMar>
              <w:top w:w="0" w:type="dxa"/>
              <w:left w:w="108" w:type="dxa"/>
              <w:bottom w:w="0" w:type="dxa"/>
              <w:right w:w="108" w:type="dxa"/>
            </w:tcMar>
            <w:hideMark/>
          </w:tcPr>
          <w:p w:rsidR="005076F8" w:rsidRPr="00D4356A" w:rsidRDefault="005076F8" w:rsidP="007663AB">
            <w:pPr>
              <w:spacing w:line="276" w:lineRule="auto"/>
              <w:rPr>
                <w:rFonts w:ascii="Arial" w:hAnsi="Arial" w:cs="Arial"/>
                <w:sz w:val="20"/>
                <w:szCs w:val="20"/>
              </w:rPr>
            </w:pPr>
            <w:r w:rsidRPr="00D4356A">
              <w:rPr>
                <w:rFonts w:ascii="Arial" w:hAnsi="Arial" w:cs="Arial"/>
                <w:sz w:val="20"/>
                <w:szCs w:val="20"/>
              </w:rPr>
              <w:t>Грошові кошти та їх еквіваленти </w:t>
            </w:r>
          </w:p>
        </w:tc>
        <w:tc>
          <w:tcPr>
            <w:tcW w:w="2745" w:type="dxa"/>
            <w:tcMar>
              <w:top w:w="0" w:type="dxa"/>
              <w:left w:w="108" w:type="dxa"/>
              <w:bottom w:w="0" w:type="dxa"/>
              <w:right w:w="108" w:type="dxa"/>
            </w:tcMar>
          </w:tcPr>
          <w:p w:rsidR="005076F8" w:rsidRPr="00D4356A" w:rsidRDefault="007B6740" w:rsidP="00FD1070">
            <w:pPr>
              <w:jc w:val="center"/>
              <w:rPr>
                <w:rFonts w:ascii="Arial" w:hAnsi="Arial" w:cs="Arial"/>
                <w:sz w:val="20"/>
                <w:szCs w:val="20"/>
              </w:rPr>
            </w:pPr>
            <w:r w:rsidRPr="00D4356A">
              <w:rPr>
                <w:rFonts w:ascii="Arial" w:hAnsi="Arial" w:cs="Arial"/>
                <w:sz w:val="20"/>
                <w:szCs w:val="20"/>
              </w:rPr>
              <w:t>6 639</w:t>
            </w:r>
          </w:p>
        </w:tc>
        <w:tc>
          <w:tcPr>
            <w:tcW w:w="2910" w:type="dxa"/>
            <w:tcMar>
              <w:top w:w="0" w:type="dxa"/>
              <w:left w:w="108" w:type="dxa"/>
              <w:bottom w:w="0" w:type="dxa"/>
              <w:right w:w="108" w:type="dxa"/>
            </w:tcMar>
          </w:tcPr>
          <w:p w:rsidR="005076F8" w:rsidRPr="00D4356A" w:rsidRDefault="002548C4" w:rsidP="00FD1070">
            <w:pPr>
              <w:jc w:val="center"/>
              <w:rPr>
                <w:rFonts w:ascii="Arial" w:hAnsi="Arial" w:cs="Arial"/>
                <w:sz w:val="20"/>
                <w:szCs w:val="20"/>
              </w:rPr>
            </w:pPr>
            <w:r w:rsidRPr="00D4356A">
              <w:rPr>
                <w:rFonts w:ascii="Arial" w:hAnsi="Arial" w:cs="Arial"/>
                <w:sz w:val="20"/>
                <w:szCs w:val="20"/>
              </w:rPr>
              <w:t>793</w:t>
            </w:r>
          </w:p>
        </w:tc>
      </w:tr>
      <w:tr w:rsidR="005076F8" w:rsidRPr="00D4356A" w:rsidTr="000E17BD">
        <w:trPr>
          <w:trHeight w:val="340"/>
        </w:trPr>
        <w:tc>
          <w:tcPr>
            <w:tcW w:w="3680" w:type="dxa"/>
            <w:tcMar>
              <w:top w:w="0" w:type="dxa"/>
              <w:left w:w="108" w:type="dxa"/>
              <w:bottom w:w="0" w:type="dxa"/>
              <w:right w:w="108" w:type="dxa"/>
            </w:tcMar>
            <w:hideMark/>
          </w:tcPr>
          <w:p w:rsidR="005076F8" w:rsidRPr="00D4356A" w:rsidRDefault="005076F8" w:rsidP="007663AB">
            <w:pPr>
              <w:spacing w:line="276" w:lineRule="auto"/>
              <w:rPr>
                <w:rFonts w:ascii="Arial" w:hAnsi="Arial" w:cs="Arial"/>
                <w:sz w:val="20"/>
                <w:szCs w:val="20"/>
              </w:rPr>
            </w:pPr>
            <w:r w:rsidRPr="00D4356A">
              <w:rPr>
                <w:rFonts w:ascii="Arial" w:hAnsi="Arial" w:cs="Arial"/>
                <w:sz w:val="20"/>
                <w:szCs w:val="20"/>
              </w:rPr>
              <w:t>Нерозподілений прибуток </w:t>
            </w:r>
          </w:p>
        </w:tc>
        <w:tc>
          <w:tcPr>
            <w:tcW w:w="2745" w:type="dxa"/>
            <w:tcMar>
              <w:top w:w="0" w:type="dxa"/>
              <w:left w:w="108" w:type="dxa"/>
              <w:bottom w:w="0" w:type="dxa"/>
              <w:right w:w="108" w:type="dxa"/>
            </w:tcMar>
          </w:tcPr>
          <w:p w:rsidR="005076F8" w:rsidRPr="00D4356A" w:rsidRDefault="007B6740" w:rsidP="00FD1070">
            <w:pPr>
              <w:jc w:val="center"/>
              <w:rPr>
                <w:rFonts w:ascii="Arial" w:hAnsi="Arial" w:cs="Arial"/>
                <w:sz w:val="20"/>
                <w:szCs w:val="20"/>
              </w:rPr>
            </w:pPr>
            <w:r w:rsidRPr="00D4356A">
              <w:rPr>
                <w:rFonts w:ascii="Arial" w:hAnsi="Arial" w:cs="Arial"/>
                <w:sz w:val="20"/>
                <w:szCs w:val="20"/>
              </w:rPr>
              <w:t>170 443</w:t>
            </w:r>
          </w:p>
        </w:tc>
        <w:tc>
          <w:tcPr>
            <w:tcW w:w="2910" w:type="dxa"/>
            <w:tcMar>
              <w:top w:w="0" w:type="dxa"/>
              <w:left w:w="108" w:type="dxa"/>
              <w:bottom w:w="0" w:type="dxa"/>
              <w:right w:w="108" w:type="dxa"/>
            </w:tcMar>
          </w:tcPr>
          <w:p w:rsidR="005076F8" w:rsidRPr="00D4356A" w:rsidRDefault="002548C4" w:rsidP="00FD1070">
            <w:pPr>
              <w:jc w:val="center"/>
              <w:rPr>
                <w:rFonts w:ascii="Arial" w:hAnsi="Arial" w:cs="Arial"/>
                <w:sz w:val="20"/>
                <w:szCs w:val="20"/>
              </w:rPr>
            </w:pPr>
            <w:r w:rsidRPr="00D4356A">
              <w:rPr>
                <w:rFonts w:ascii="Arial" w:hAnsi="Arial" w:cs="Arial"/>
                <w:sz w:val="20"/>
                <w:szCs w:val="20"/>
              </w:rPr>
              <w:t>105 248</w:t>
            </w:r>
          </w:p>
        </w:tc>
      </w:tr>
      <w:tr w:rsidR="005076F8" w:rsidRPr="00D4356A" w:rsidTr="000E17BD">
        <w:trPr>
          <w:trHeight w:val="340"/>
        </w:trPr>
        <w:tc>
          <w:tcPr>
            <w:tcW w:w="3680" w:type="dxa"/>
            <w:tcMar>
              <w:top w:w="0" w:type="dxa"/>
              <w:left w:w="108" w:type="dxa"/>
              <w:bottom w:w="0" w:type="dxa"/>
              <w:right w:w="108" w:type="dxa"/>
            </w:tcMar>
            <w:hideMark/>
          </w:tcPr>
          <w:p w:rsidR="005076F8" w:rsidRPr="00D4356A" w:rsidRDefault="005076F8" w:rsidP="007663AB">
            <w:pPr>
              <w:spacing w:line="276" w:lineRule="auto"/>
              <w:rPr>
                <w:rFonts w:ascii="Arial" w:hAnsi="Arial" w:cs="Arial"/>
                <w:sz w:val="20"/>
                <w:szCs w:val="20"/>
              </w:rPr>
            </w:pPr>
            <w:r w:rsidRPr="00D4356A">
              <w:rPr>
                <w:rFonts w:ascii="Arial" w:hAnsi="Arial" w:cs="Arial"/>
                <w:sz w:val="20"/>
                <w:szCs w:val="20"/>
              </w:rPr>
              <w:t>Власний капітал </w:t>
            </w:r>
          </w:p>
        </w:tc>
        <w:tc>
          <w:tcPr>
            <w:tcW w:w="2745" w:type="dxa"/>
            <w:tcMar>
              <w:top w:w="0" w:type="dxa"/>
              <w:left w:w="108" w:type="dxa"/>
              <w:bottom w:w="0" w:type="dxa"/>
              <w:right w:w="108" w:type="dxa"/>
            </w:tcMar>
          </w:tcPr>
          <w:p w:rsidR="005076F8" w:rsidRPr="00D4356A" w:rsidRDefault="007B6740" w:rsidP="00FD1070">
            <w:pPr>
              <w:jc w:val="center"/>
              <w:rPr>
                <w:rFonts w:ascii="Arial" w:hAnsi="Arial" w:cs="Arial"/>
                <w:sz w:val="20"/>
                <w:szCs w:val="20"/>
              </w:rPr>
            </w:pPr>
            <w:r w:rsidRPr="00D4356A">
              <w:rPr>
                <w:rFonts w:ascii="Arial" w:hAnsi="Arial" w:cs="Arial"/>
                <w:sz w:val="20"/>
                <w:szCs w:val="20"/>
              </w:rPr>
              <w:t>210 150</w:t>
            </w:r>
          </w:p>
        </w:tc>
        <w:tc>
          <w:tcPr>
            <w:tcW w:w="2910" w:type="dxa"/>
            <w:tcMar>
              <w:top w:w="0" w:type="dxa"/>
              <w:left w:w="108" w:type="dxa"/>
              <w:bottom w:w="0" w:type="dxa"/>
              <w:right w:w="108" w:type="dxa"/>
            </w:tcMar>
          </w:tcPr>
          <w:p w:rsidR="005076F8" w:rsidRPr="00D4356A" w:rsidRDefault="002548C4" w:rsidP="00FD1070">
            <w:pPr>
              <w:jc w:val="center"/>
              <w:rPr>
                <w:rFonts w:ascii="Arial" w:hAnsi="Arial" w:cs="Arial"/>
                <w:sz w:val="20"/>
                <w:szCs w:val="20"/>
              </w:rPr>
            </w:pPr>
            <w:r w:rsidRPr="00D4356A">
              <w:rPr>
                <w:rFonts w:ascii="Arial" w:hAnsi="Arial" w:cs="Arial"/>
                <w:sz w:val="20"/>
                <w:szCs w:val="20"/>
              </w:rPr>
              <w:t>144 955</w:t>
            </w:r>
          </w:p>
        </w:tc>
      </w:tr>
      <w:tr w:rsidR="005076F8" w:rsidRPr="00D4356A" w:rsidTr="000E17BD">
        <w:trPr>
          <w:trHeight w:val="340"/>
        </w:trPr>
        <w:tc>
          <w:tcPr>
            <w:tcW w:w="3680" w:type="dxa"/>
            <w:tcMar>
              <w:top w:w="0" w:type="dxa"/>
              <w:left w:w="108" w:type="dxa"/>
              <w:bottom w:w="0" w:type="dxa"/>
              <w:right w:w="108" w:type="dxa"/>
            </w:tcMar>
            <w:hideMark/>
          </w:tcPr>
          <w:p w:rsidR="005076F8" w:rsidRPr="00D4356A" w:rsidRDefault="005076F8" w:rsidP="007663AB">
            <w:pPr>
              <w:spacing w:line="276" w:lineRule="auto"/>
              <w:rPr>
                <w:rFonts w:ascii="Arial" w:hAnsi="Arial" w:cs="Arial"/>
                <w:sz w:val="20"/>
                <w:szCs w:val="20"/>
              </w:rPr>
            </w:pPr>
            <w:r w:rsidRPr="00D4356A">
              <w:rPr>
                <w:rFonts w:ascii="Arial" w:hAnsi="Arial" w:cs="Arial"/>
                <w:sz w:val="20"/>
                <w:szCs w:val="20"/>
              </w:rPr>
              <w:t>Статутний капітал </w:t>
            </w:r>
          </w:p>
        </w:tc>
        <w:tc>
          <w:tcPr>
            <w:tcW w:w="2745" w:type="dxa"/>
            <w:tcMar>
              <w:top w:w="0" w:type="dxa"/>
              <w:left w:w="108" w:type="dxa"/>
              <w:bottom w:w="0" w:type="dxa"/>
              <w:right w:w="108" w:type="dxa"/>
            </w:tcMar>
          </w:tcPr>
          <w:p w:rsidR="005076F8" w:rsidRPr="00D4356A" w:rsidRDefault="00EA1069" w:rsidP="00FD1070">
            <w:pPr>
              <w:jc w:val="center"/>
              <w:rPr>
                <w:rFonts w:ascii="Arial" w:hAnsi="Arial" w:cs="Arial"/>
                <w:sz w:val="20"/>
                <w:szCs w:val="20"/>
              </w:rPr>
            </w:pPr>
            <w:r w:rsidRPr="00D4356A">
              <w:rPr>
                <w:rFonts w:ascii="Arial" w:hAnsi="Arial" w:cs="Arial"/>
                <w:sz w:val="20"/>
                <w:szCs w:val="20"/>
              </w:rPr>
              <w:t>14 896</w:t>
            </w:r>
          </w:p>
        </w:tc>
        <w:tc>
          <w:tcPr>
            <w:tcW w:w="2910" w:type="dxa"/>
            <w:tcMar>
              <w:top w:w="0" w:type="dxa"/>
              <w:left w:w="108" w:type="dxa"/>
              <w:bottom w:w="0" w:type="dxa"/>
              <w:right w:w="108" w:type="dxa"/>
            </w:tcMar>
          </w:tcPr>
          <w:p w:rsidR="005076F8" w:rsidRPr="00D4356A" w:rsidRDefault="002548C4" w:rsidP="00FD1070">
            <w:pPr>
              <w:jc w:val="center"/>
              <w:rPr>
                <w:rFonts w:ascii="Arial" w:hAnsi="Arial" w:cs="Arial"/>
                <w:sz w:val="20"/>
                <w:szCs w:val="20"/>
              </w:rPr>
            </w:pPr>
            <w:r w:rsidRPr="00D4356A">
              <w:rPr>
                <w:rFonts w:ascii="Arial" w:hAnsi="Arial" w:cs="Arial"/>
                <w:sz w:val="20"/>
                <w:szCs w:val="20"/>
              </w:rPr>
              <w:t>14 896</w:t>
            </w:r>
          </w:p>
        </w:tc>
      </w:tr>
      <w:tr w:rsidR="005076F8" w:rsidRPr="00D4356A" w:rsidTr="000E17BD">
        <w:trPr>
          <w:trHeight w:val="340"/>
        </w:trPr>
        <w:tc>
          <w:tcPr>
            <w:tcW w:w="3680" w:type="dxa"/>
            <w:tcMar>
              <w:top w:w="0" w:type="dxa"/>
              <w:left w:w="108" w:type="dxa"/>
              <w:bottom w:w="0" w:type="dxa"/>
              <w:right w:w="108" w:type="dxa"/>
            </w:tcMar>
            <w:hideMark/>
          </w:tcPr>
          <w:p w:rsidR="005076F8" w:rsidRPr="00D4356A" w:rsidRDefault="005076F8" w:rsidP="007663AB">
            <w:pPr>
              <w:spacing w:line="276" w:lineRule="auto"/>
              <w:rPr>
                <w:rFonts w:ascii="Arial" w:hAnsi="Arial" w:cs="Arial"/>
                <w:sz w:val="20"/>
                <w:szCs w:val="20"/>
              </w:rPr>
            </w:pPr>
            <w:r w:rsidRPr="00D4356A">
              <w:rPr>
                <w:rFonts w:ascii="Arial" w:hAnsi="Arial" w:cs="Arial"/>
                <w:sz w:val="20"/>
                <w:szCs w:val="20"/>
              </w:rPr>
              <w:t>Довгострокові зобов'язання </w:t>
            </w:r>
          </w:p>
        </w:tc>
        <w:tc>
          <w:tcPr>
            <w:tcW w:w="2745" w:type="dxa"/>
            <w:tcMar>
              <w:top w:w="0" w:type="dxa"/>
              <w:left w:w="108" w:type="dxa"/>
              <w:bottom w:w="0" w:type="dxa"/>
              <w:right w:w="108" w:type="dxa"/>
            </w:tcMar>
          </w:tcPr>
          <w:p w:rsidR="005076F8" w:rsidRPr="00D4356A" w:rsidRDefault="007B6740" w:rsidP="00FD1070">
            <w:pPr>
              <w:jc w:val="center"/>
              <w:rPr>
                <w:rFonts w:ascii="Arial" w:hAnsi="Arial" w:cs="Arial"/>
                <w:sz w:val="20"/>
                <w:szCs w:val="20"/>
              </w:rPr>
            </w:pPr>
            <w:r w:rsidRPr="00D4356A">
              <w:rPr>
                <w:rFonts w:ascii="Arial" w:hAnsi="Arial" w:cs="Arial"/>
                <w:sz w:val="20"/>
                <w:szCs w:val="20"/>
              </w:rPr>
              <w:t>2 425</w:t>
            </w:r>
          </w:p>
        </w:tc>
        <w:tc>
          <w:tcPr>
            <w:tcW w:w="2910" w:type="dxa"/>
            <w:tcMar>
              <w:top w:w="0" w:type="dxa"/>
              <w:left w:w="108" w:type="dxa"/>
              <w:bottom w:w="0" w:type="dxa"/>
              <w:right w:w="108" w:type="dxa"/>
            </w:tcMar>
          </w:tcPr>
          <w:p w:rsidR="005076F8" w:rsidRPr="00D4356A" w:rsidRDefault="002548C4" w:rsidP="00FD1070">
            <w:pPr>
              <w:jc w:val="center"/>
              <w:rPr>
                <w:rFonts w:ascii="Arial" w:hAnsi="Arial" w:cs="Arial"/>
                <w:sz w:val="20"/>
                <w:szCs w:val="20"/>
              </w:rPr>
            </w:pPr>
            <w:r w:rsidRPr="00D4356A">
              <w:rPr>
                <w:rFonts w:ascii="Arial" w:hAnsi="Arial" w:cs="Arial"/>
                <w:sz w:val="20"/>
                <w:szCs w:val="20"/>
              </w:rPr>
              <w:t>1 140</w:t>
            </w:r>
          </w:p>
        </w:tc>
      </w:tr>
      <w:tr w:rsidR="005076F8" w:rsidRPr="00D4356A" w:rsidTr="000E17BD">
        <w:trPr>
          <w:trHeight w:val="340"/>
        </w:trPr>
        <w:tc>
          <w:tcPr>
            <w:tcW w:w="3680" w:type="dxa"/>
            <w:tcMar>
              <w:top w:w="0" w:type="dxa"/>
              <w:left w:w="108" w:type="dxa"/>
              <w:bottom w:w="0" w:type="dxa"/>
              <w:right w:w="108" w:type="dxa"/>
            </w:tcMar>
            <w:hideMark/>
          </w:tcPr>
          <w:p w:rsidR="005076F8" w:rsidRPr="00D4356A" w:rsidRDefault="005076F8" w:rsidP="007663AB">
            <w:pPr>
              <w:spacing w:line="276" w:lineRule="auto"/>
              <w:rPr>
                <w:rFonts w:ascii="Arial" w:hAnsi="Arial" w:cs="Arial"/>
                <w:sz w:val="20"/>
                <w:szCs w:val="20"/>
              </w:rPr>
            </w:pPr>
            <w:r w:rsidRPr="00D4356A">
              <w:rPr>
                <w:rFonts w:ascii="Arial" w:hAnsi="Arial" w:cs="Arial"/>
                <w:sz w:val="20"/>
                <w:szCs w:val="20"/>
              </w:rPr>
              <w:t>Поточні зобов'язання </w:t>
            </w:r>
          </w:p>
        </w:tc>
        <w:tc>
          <w:tcPr>
            <w:tcW w:w="2745" w:type="dxa"/>
            <w:tcMar>
              <w:top w:w="0" w:type="dxa"/>
              <w:left w:w="108" w:type="dxa"/>
              <w:bottom w:w="0" w:type="dxa"/>
              <w:right w:w="108" w:type="dxa"/>
            </w:tcMar>
          </w:tcPr>
          <w:p w:rsidR="005076F8" w:rsidRPr="00D4356A" w:rsidRDefault="007B6740" w:rsidP="00FD1070">
            <w:pPr>
              <w:jc w:val="center"/>
              <w:rPr>
                <w:rFonts w:ascii="Arial" w:hAnsi="Arial" w:cs="Arial"/>
                <w:sz w:val="20"/>
                <w:szCs w:val="20"/>
              </w:rPr>
            </w:pPr>
            <w:r w:rsidRPr="00D4356A">
              <w:rPr>
                <w:rFonts w:ascii="Arial" w:hAnsi="Arial" w:cs="Arial"/>
                <w:sz w:val="20"/>
                <w:szCs w:val="20"/>
              </w:rPr>
              <w:t>197 811</w:t>
            </w:r>
          </w:p>
        </w:tc>
        <w:tc>
          <w:tcPr>
            <w:tcW w:w="2910" w:type="dxa"/>
            <w:tcMar>
              <w:top w:w="0" w:type="dxa"/>
              <w:left w:w="108" w:type="dxa"/>
              <w:bottom w:w="0" w:type="dxa"/>
              <w:right w:w="108" w:type="dxa"/>
            </w:tcMar>
          </w:tcPr>
          <w:p w:rsidR="005076F8" w:rsidRPr="00D4356A" w:rsidRDefault="002548C4" w:rsidP="00FD1070">
            <w:pPr>
              <w:jc w:val="center"/>
              <w:rPr>
                <w:rFonts w:ascii="Arial" w:hAnsi="Arial" w:cs="Arial"/>
                <w:sz w:val="20"/>
                <w:szCs w:val="20"/>
              </w:rPr>
            </w:pPr>
            <w:r w:rsidRPr="00D4356A">
              <w:rPr>
                <w:rFonts w:ascii="Arial" w:hAnsi="Arial" w:cs="Arial"/>
                <w:sz w:val="20"/>
                <w:szCs w:val="20"/>
              </w:rPr>
              <w:t>197 919</w:t>
            </w:r>
          </w:p>
        </w:tc>
      </w:tr>
      <w:tr w:rsidR="005076F8" w:rsidRPr="00D4356A" w:rsidTr="000E17BD">
        <w:trPr>
          <w:trHeight w:val="340"/>
        </w:trPr>
        <w:tc>
          <w:tcPr>
            <w:tcW w:w="3680" w:type="dxa"/>
            <w:tcMar>
              <w:top w:w="0" w:type="dxa"/>
              <w:left w:w="108" w:type="dxa"/>
              <w:bottom w:w="0" w:type="dxa"/>
              <w:right w:w="108" w:type="dxa"/>
            </w:tcMar>
            <w:hideMark/>
          </w:tcPr>
          <w:p w:rsidR="005076F8" w:rsidRPr="00D4356A" w:rsidRDefault="005076F8" w:rsidP="007663AB">
            <w:pPr>
              <w:spacing w:line="276" w:lineRule="auto"/>
              <w:rPr>
                <w:rFonts w:ascii="Arial" w:hAnsi="Arial" w:cs="Arial"/>
                <w:sz w:val="20"/>
                <w:szCs w:val="20"/>
              </w:rPr>
            </w:pPr>
            <w:r w:rsidRPr="00D4356A">
              <w:rPr>
                <w:rFonts w:ascii="Arial" w:hAnsi="Arial" w:cs="Arial"/>
                <w:sz w:val="20"/>
                <w:szCs w:val="20"/>
              </w:rPr>
              <w:t>Чистий прибуток (збиток) </w:t>
            </w:r>
          </w:p>
        </w:tc>
        <w:tc>
          <w:tcPr>
            <w:tcW w:w="2745" w:type="dxa"/>
            <w:tcMar>
              <w:top w:w="0" w:type="dxa"/>
              <w:left w:w="108" w:type="dxa"/>
              <w:bottom w:w="0" w:type="dxa"/>
              <w:right w:w="108" w:type="dxa"/>
            </w:tcMar>
          </w:tcPr>
          <w:p w:rsidR="005076F8" w:rsidRPr="00D4356A" w:rsidRDefault="007B6740" w:rsidP="00FD1070">
            <w:pPr>
              <w:jc w:val="center"/>
              <w:rPr>
                <w:rFonts w:ascii="Arial" w:hAnsi="Arial" w:cs="Arial"/>
                <w:sz w:val="20"/>
                <w:szCs w:val="20"/>
              </w:rPr>
            </w:pPr>
            <w:r w:rsidRPr="00D4356A">
              <w:rPr>
                <w:rFonts w:ascii="Arial" w:hAnsi="Arial" w:cs="Arial"/>
                <w:sz w:val="20"/>
                <w:szCs w:val="20"/>
              </w:rPr>
              <w:t>112 011</w:t>
            </w:r>
          </w:p>
        </w:tc>
        <w:tc>
          <w:tcPr>
            <w:tcW w:w="2910" w:type="dxa"/>
            <w:tcMar>
              <w:top w:w="0" w:type="dxa"/>
              <w:left w:w="108" w:type="dxa"/>
              <w:bottom w:w="0" w:type="dxa"/>
              <w:right w:w="108" w:type="dxa"/>
            </w:tcMar>
          </w:tcPr>
          <w:p w:rsidR="005076F8" w:rsidRPr="00D4356A" w:rsidRDefault="002548C4" w:rsidP="00FD1070">
            <w:pPr>
              <w:jc w:val="center"/>
              <w:rPr>
                <w:rFonts w:ascii="Arial" w:hAnsi="Arial" w:cs="Arial"/>
                <w:sz w:val="20"/>
                <w:szCs w:val="20"/>
              </w:rPr>
            </w:pPr>
            <w:r w:rsidRPr="00D4356A">
              <w:rPr>
                <w:rFonts w:ascii="Arial" w:hAnsi="Arial" w:cs="Arial"/>
                <w:sz w:val="20"/>
                <w:szCs w:val="20"/>
              </w:rPr>
              <w:t>72 600</w:t>
            </w:r>
          </w:p>
        </w:tc>
      </w:tr>
    </w:tbl>
    <w:p w:rsidR="007D3FE7" w:rsidRPr="00D4356A" w:rsidRDefault="005076F8" w:rsidP="005076F8">
      <w:pPr>
        <w:rPr>
          <w:rFonts w:ascii="Arial" w:hAnsi="Arial" w:cs="Arial"/>
          <w:b/>
          <w:sz w:val="20"/>
          <w:szCs w:val="20"/>
        </w:rPr>
      </w:pPr>
      <w:r w:rsidRPr="00D4356A">
        <w:rPr>
          <w:rFonts w:ascii="Arial" w:hAnsi="Arial" w:cs="Arial"/>
          <w:b/>
          <w:sz w:val="20"/>
          <w:szCs w:val="20"/>
        </w:rPr>
        <w:t xml:space="preserve">          </w:t>
      </w:r>
    </w:p>
    <w:p w:rsidR="00E63F7B" w:rsidRPr="00D4356A" w:rsidRDefault="00E63F7B" w:rsidP="007D5293">
      <w:pPr>
        <w:pStyle w:val="ab"/>
        <w:numPr>
          <w:ilvl w:val="0"/>
          <w:numId w:val="1"/>
        </w:numPr>
        <w:spacing w:before="120"/>
        <w:rPr>
          <w:rFonts w:ascii="Arial" w:hAnsi="Arial" w:cs="Arial"/>
          <w:b/>
          <w:sz w:val="20"/>
          <w:szCs w:val="20"/>
        </w:rPr>
      </w:pPr>
      <w:r w:rsidRPr="00D4356A">
        <w:rPr>
          <w:rFonts w:ascii="Arial" w:hAnsi="Arial" w:cs="Arial"/>
          <w:b/>
          <w:sz w:val="20"/>
          <w:szCs w:val="20"/>
        </w:rPr>
        <w:t>ЛІКВІДНІСТЬ ТА ЗОБОВ</w:t>
      </w:r>
      <w:r w:rsidRPr="00D4356A">
        <w:rPr>
          <w:rFonts w:ascii="Arial" w:hAnsi="Arial" w:cs="Arial"/>
          <w:b/>
          <w:sz w:val="20"/>
          <w:szCs w:val="20"/>
          <w:lang w:val="en-US"/>
        </w:rPr>
        <w:t>’</w:t>
      </w:r>
      <w:r w:rsidRPr="00D4356A">
        <w:rPr>
          <w:rFonts w:ascii="Arial" w:hAnsi="Arial" w:cs="Arial"/>
          <w:b/>
          <w:sz w:val="20"/>
          <w:szCs w:val="20"/>
        </w:rPr>
        <w:t>ЯЗАННЯ</w:t>
      </w:r>
      <w:r w:rsidR="005076F8" w:rsidRPr="00D4356A">
        <w:rPr>
          <w:rFonts w:ascii="Arial" w:hAnsi="Arial" w:cs="Arial"/>
          <w:b/>
          <w:sz w:val="20"/>
          <w:szCs w:val="20"/>
        </w:rPr>
        <w:t xml:space="preserve">    </w:t>
      </w:r>
    </w:p>
    <w:p w:rsidR="005076F8" w:rsidRPr="00D4356A" w:rsidRDefault="00A92965" w:rsidP="007D5293">
      <w:pPr>
        <w:spacing w:before="120"/>
        <w:rPr>
          <w:rFonts w:ascii="Arial" w:hAnsi="Arial" w:cs="Arial"/>
          <w:sz w:val="20"/>
          <w:szCs w:val="20"/>
        </w:rPr>
      </w:pPr>
      <w:r w:rsidRPr="00D4356A">
        <w:rPr>
          <w:rFonts w:ascii="Arial" w:hAnsi="Arial" w:cs="Arial"/>
          <w:sz w:val="20"/>
          <w:szCs w:val="20"/>
        </w:rPr>
        <w:t>Критерієм</w:t>
      </w:r>
      <w:r w:rsidR="005076F8" w:rsidRPr="00D4356A">
        <w:rPr>
          <w:rFonts w:ascii="Arial" w:hAnsi="Arial" w:cs="Arial"/>
          <w:sz w:val="20"/>
          <w:szCs w:val="20"/>
        </w:rPr>
        <w:t xml:space="preserve"> </w:t>
      </w:r>
      <w:r w:rsidRPr="00D4356A">
        <w:rPr>
          <w:rFonts w:ascii="Arial" w:hAnsi="Arial" w:cs="Arial"/>
          <w:sz w:val="20"/>
          <w:szCs w:val="20"/>
        </w:rPr>
        <w:t xml:space="preserve"> оцінки фінансового стану </w:t>
      </w:r>
      <w:r w:rsidR="00D4356A" w:rsidRPr="00D4356A">
        <w:rPr>
          <w:rFonts w:ascii="Arial" w:hAnsi="Arial" w:cs="Arial"/>
          <w:sz w:val="20"/>
          <w:szCs w:val="20"/>
        </w:rPr>
        <w:t>Компанії</w:t>
      </w:r>
      <w:r w:rsidRPr="00D4356A">
        <w:rPr>
          <w:rFonts w:ascii="Arial" w:hAnsi="Arial" w:cs="Arial"/>
          <w:sz w:val="20"/>
          <w:szCs w:val="20"/>
        </w:rPr>
        <w:t xml:space="preserve"> виступає його </w:t>
      </w:r>
      <w:r w:rsidR="006D7AB4" w:rsidRPr="00D4356A">
        <w:rPr>
          <w:rFonts w:ascii="Arial" w:hAnsi="Arial" w:cs="Arial"/>
          <w:sz w:val="20"/>
          <w:szCs w:val="20"/>
        </w:rPr>
        <w:t>ліквідність і платоспроможність , до них належать:</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1843"/>
        <w:gridCol w:w="1695"/>
      </w:tblGrid>
      <w:tr w:rsidR="00D4356A" w:rsidTr="00D4356A">
        <w:tc>
          <w:tcPr>
            <w:tcW w:w="5807" w:type="dxa"/>
            <w:tcBorders>
              <w:bottom w:val="single" w:sz="4" w:space="0" w:color="auto"/>
            </w:tcBorders>
          </w:tcPr>
          <w:p w:rsidR="00D4356A" w:rsidRDefault="00D4356A" w:rsidP="007D5293">
            <w:pPr>
              <w:spacing w:before="120"/>
              <w:rPr>
                <w:rFonts w:ascii="Arial" w:hAnsi="Arial" w:cs="Arial"/>
                <w:sz w:val="20"/>
                <w:szCs w:val="20"/>
              </w:rPr>
            </w:pPr>
          </w:p>
        </w:tc>
        <w:tc>
          <w:tcPr>
            <w:tcW w:w="1843" w:type="dxa"/>
            <w:tcBorders>
              <w:bottom w:val="single" w:sz="4" w:space="0" w:color="auto"/>
            </w:tcBorders>
          </w:tcPr>
          <w:p w:rsidR="00D4356A" w:rsidRDefault="00D4356A" w:rsidP="00D4356A">
            <w:pPr>
              <w:spacing w:before="120"/>
              <w:jc w:val="right"/>
              <w:rPr>
                <w:rFonts w:ascii="Arial" w:hAnsi="Arial" w:cs="Arial"/>
                <w:sz w:val="20"/>
                <w:szCs w:val="20"/>
              </w:rPr>
            </w:pPr>
            <w:r>
              <w:rPr>
                <w:rFonts w:ascii="Arial" w:hAnsi="Arial" w:cs="Arial"/>
                <w:sz w:val="20"/>
                <w:szCs w:val="20"/>
              </w:rPr>
              <w:t>31.12.</w:t>
            </w:r>
            <w:r w:rsidRPr="00D4356A">
              <w:rPr>
                <w:rFonts w:ascii="Arial" w:hAnsi="Arial" w:cs="Arial"/>
                <w:sz w:val="20"/>
                <w:szCs w:val="20"/>
              </w:rPr>
              <w:t>2023</w:t>
            </w:r>
          </w:p>
        </w:tc>
        <w:tc>
          <w:tcPr>
            <w:tcW w:w="1695" w:type="dxa"/>
            <w:tcBorders>
              <w:bottom w:val="single" w:sz="4" w:space="0" w:color="auto"/>
            </w:tcBorders>
          </w:tcPr>
          <w:p w:rsidR="00D4356A" w:rsidRDefault="00D4356A" w:rsidP="00D4356A">
            <w:pPr>
              <w:spacing w:before="120"/>
              <w:jc w:val="right"/>
              <w:rPr>
                <w:rFonts w:ascii="Arial" w:hAnsi="Arial" w:cs="Arial"/>
                <w:sz w:val="20"/>
                <w:szCs w:val="20"/>
              </w:rPr>
            </w:pPr>
            <w:r w:rsidRPr="00D4356A">
              <w:rPr>
                <w:rFonts w:ascii="Arial" w:hAnsi="Arial" w:cs="Arial"/>
                <w:sz w:val="20"/>
                <w:szCs w:val="20"/>
              </w:rPr>
              <w:t>31</w:t>
            </w:r>
            <w:r>
              <w:rPr>
                <w:rFonts w:ascii="Arial" w:hAnsi="Arial" w:cs="Arial"/>
                <w:sz w:val="20"/>
                <w:szCs w:val="20"/>
              </w:rPr>
              <w:t>.12.2022</w:t>
            </w:r>
          </w:p>
        </w:tc>
      </w:tr>
      <w:tr w:rsidR="00D4356A" w:rsidTr="00D4356A">
        <w:tc>
          <w:tcPr>
            <w:tcW w:w="5807" w:type="dxa"/>
            <w:tcBorders>
              <w:top w:val="single" w:sz="4" w:space="0" w:color="auto"/>
            </w:tcBorders>
          </w:tcPr>
          <w:p w:rsidR="00D4356A" w:rsidRDefault="00D4356A" w:rsidP="007D5293">
            <w:pPr>
              <w:spacing w:before="120"/>
              <w:rPr>
                <w:rFonts w:ascii="Arial" w:hAnsi="Arial" w:cs="Arial"/>
                <w:sz w:val="20"/>
                <w:szCs w:val="20"/>
              </w:rPr>
            </w:pPr>
            <w:r w:rsidRPr="00D4356A">
              <w:rPr>
                <w:rFonts w:ascii="Arial" w:hAnsi="Arial" w:cs="Arial"/>
                <w:sz w:val="20"/>
                <w:szCs w:val="20"/>
              </w:rPr>
              <w:t xml:space="preserve">Коефіцієнт загальної ліквідності (Коефіцієнт покриття)                            </w:t>
            </w:r>
          </w:p>
        </w:tc>
        <w:tc>
          <w:tcPr>
            <w:tcW w:w="1843" w:type="dxa"/>
            <w:tcBorders>
              <w:top w:val="single" w:sz="4" w:space="0" w:color="auto"/>
            </w:tcBorders>
          </w:tcPr>
          <w:p w:rsidR="00D4356A" w:rsidRDefault="00D4356A" w:rsidP="00D4356A">
            <w:pPr>
              <w:spacing w:before="120"/>
              <w:jc w:val="right"/>
              <w:rPr>
                <w:rFonts w:ascii="Arial" w:hAnsi="Arial" w:cs="Arial"/>
                <w:sz w:val="20"/>
                <w:szCs w:val="20"/>
              </w:rPr>
            </w:pPr>
            <w:r>
              <w:rPr>
                <w:rFonts w:ascii="Arial" w:hAnsi="Arial" w:cs="Arial"/>
                <w:sz w:val="20"/>
                <w:szCs w:val="20"/>
              </w:rPr>
              <w:t>1,83</w:t>
            </w:r>
          </w:p>
        </w:tc>
        <w:tc>
          <w:tcPr>
            <w:tcW w:w="1695" w:type="dxa"/>
            <w:tcBorders>
              <w:top w:val="single" w:sz="4" w:space="0" w:color="auto"/>
            </w:tcBorders>
          </w:tcPr>
          <w:p w:rsidR="00D4356A" w:rsidRDefault="00D4356A" w:rsidP="00D4356A">
            <w:pPr>
              <w:spacing w:before="120"/>
              <w:jc w:val="right"/>
              <w:rPr>
                <w:rFonts w:ascii="Arial" w:hAnsi="Arial" w:cs="Arial"/>
                <w:sz w:val="20"/>
                <w:szCs w:val="20"/>
              </w:rPr>
            </w:pPr>
            <w:r>
              <w:rPr>
                <w:rFonts w:ascii="Arial" w:hAnsi="Arial" w:cs="Arial"/>
                <w:sz w:val="20"/>
                <w:szCs w:val="20"/>
              </w:rPr>
              <w:t>1,52</w:t>
            </w:r>
          </w:p>
        </w:tc>
      </w:tr>
      <w:tr w:rsidR="00D4356A" w:rsidTr="00D4356A">
        <w:tc>
          <w:tcPr>
            <w:tcW w:w="5807" w:type="dxa"/>
          </w:tcPr>
          <w:p w:rsidR="00D4356A" w:rsidRDefault="00D4356A" w:rsidP="007D5293">
            <w:pPr>
              <w:spacing w:before="120"/>
              <w:rPr>
                <w:rFonts w:ascii="Arial" w:hAnsi="Arial" w:cs="Arial"/>
                <w:sz w:val="20"/>
                <w:szCs w:val="20"/>
              </w:rPr>
            </w:pPr>
            <w:r w:rsidRPr="00D4356A">
              <w:rPr>
                <w:rFonts w:ascii="Arial" w:hAnsi="Arial" w:cs="Arial"/>
                <w:sz w:val="20"/>
                <w:szCs w:val="20"/>
              </w:rPr>
              <w:t>Коефіцієнт поточної ліквідності (Коефіцієнт швидкої ліквідності)</w:t>
            </w:r>
          </w:p>
        </w:tc>
        <w:tc>
          <w:tcPr>
            <w:tcW w:w="1843" w:type="dxa"/>
          </w:tcPr>
          <w:p w:rsidR="00D4356A" w:rsidRDefault="00D4356A" w:rsidP="00D4356A">
            <w:pPr>
              <w:spacing w:before="120"/>
              <w:jc w:val="right"/>
              <w:rPr>
                <w:rFonts w:ascii="Arial" w:hAnsi="Arial" w:cs="Arial"/>
                <w:sz w:val="20"/>
                <w:szCs w:val="20"/>
              </w:rPr>
            </w:pPr>
            <w:r>
              <w:rPr>
                <w:rFonts w:ascii="Arial" w:hAnsi="Arial" w:cs="Arial"/>
                <w:sz w:val="20"/>
                <w:szCs w:val="20"/>
              </w:rPr>
              <w:t>1,20</w:t>
            </w:r>
          </w:p>
        </w:tc>
        <w:tc>
          <w:tcPr>
            <w:tcW w:w="1695" w:type="dxa"/>
          </w:tcPr>
          <w:p w:rsidR="00D4356A" w:rsidRDefault="00D4356A" w:rsidP="00D4356A">
            <w:pPr>
              <w:spacing w:before="120"/>
              <w:jc w:val="right"/>
              <w:rPr>
                <w:rFonts w:ascii="Arial" w:hAnsi="Arial" w:cs="Arial"/>
                <w:sz w:val="20"/>
                <w:szCs w:val="20"/>
              </w:rPr>
            </w:pPr>
            <w:r>
              <w:rPr>
                <w:rFonts w:ascii="Arial" w:hAnsi="Arial" w:cs="Arial"/>
                <w:sz w:val="20"/>
                <w:szCs w:val="20"/>
              </w:rPr>
              <w:t>1,00</w:t>
            </w:r>
          </w:p>
        </w:tc>
      </w:tr>
      <w:tr w:rsidR="00D4356A" w:rsidTr="00D4356A">
        <w:tc>
          <w:tcPr>
            <w:tcW w:w="5807" w:type="dxa"/>
          </w:tcPr>
          <w:p w:rsidR="00D4356A" w:rsidRDefault="00D4356A" w:rsidP="007D5293">
            <w:pPr>
              <w:spacing w:before="120"/>
              <w:rPr>
                <w:rFonts w:ascii="Arial" w:hAnsi="Arial" w:cs="Arial"/>
                <w:sz w:val="20"/>
                <w:szCs w:val="20"/>
              </w:rPr>
            </w:pPr>
            <w:r w:rsidRPr="00D4356A">
              <w:rPr>
                <w:rFonts w:ascii="Arial" w:hAnsi="Arial" w:cs="Arial"/>
                <w:sz w:val="20"/>
                <w:szCs w:val="20"/>
              </w:rPr>
              <w:t xml:space="preserve">Коефіцієнт абсолютної ліквідності                                                                </w:t>
            </w:r>
          </w:p>
        </w:tc>
        <w:tc>
          <w:tcPr>
            <w:tcW w:w="1843" w:type="dxa"/>
          </w:tcPr>
          <w:p w:rsidR="00D4356A" w:rsidRDefault="00D4356A" w:rsidP="00D4356A">
            <w:pPr>
              <w:spacing w:before="120"/>
              <w:jc w:val="right"/>
              <w:rPr>
                <w:rFonts w:ascii="Arial" w:hAnsi="Arial" w:cs="Arial"/>
                <w:sz w:val="20"/>
                <w:szCs w:val="20"/>
              </w:rPr>
            </w:pPr>
            <w:r>
              <w:rPr>
                <w:rFonts w:ascii="Arial" w:hAnsi="Arial" w:cs="Arial"/>
                <w:sz w:val="20"/>
                <w:szCs w:val="20"/>
              </w:rPr>
              <w:t>0,03</w:t>
            </w:r>
          </w:p>
        </w:tc>
        <w:tc>
          <w:tcPr>
            <w:tcW w:w="1695" w:type="dxa"/>
          </w:tcPr>
          <w:p w:rsidR="00D4356A" w:rsidRDefault="00D4356A" w:rsidP="00D4356A">
            <w:pPr>
              <w:spacing w:before="120"/>
              <w:jc w:val="right"/>
              <w:rPr>
                <w:rFonts w:ascii="Arial" w:hAnsi="Arial" w:cs="Arial"/>
                <w:sz w:val="20"/>
                <w:szCs w:val="20"/>
              </w:rPr>
            </w:pPr>
            <w:r>
              <w:rPr>
                <w:rFonts w:ascii="Arial" w:hAnsi="Arial" w:cs="Arial"/>
                <w:sz w:val="20"/>
                <w:szCs w:val="20"/>
              </w:rPr>
              <w:t>0</w:t>
            </w:r>
          </w:p>
        </w:tc>
      </w:tr>
      <w:tr w:rsidR="00D4356A" w:rsidTr="00D4356A">
        <w:tc>
          <w:tcPr>
            <w:tcW w:w="5807" w:type="dxa"/>
          </w:tcPr>
          <w:p w:rsidR="00D4356A" w:rsidRDefault="00D4356A" w:rsidP="007D5293">
            <w:pPr>
              <w:spacing w:before="120"/>
              <w:rPr>
                <w:rFonts w:ascii="Arial" w:hAnsi="Arial" w:cs="Arial"/>
                <w:sz w:val="20"/>
                <w:szCs w:val="20"/>
              </w:rPr>
            </w:pPr>
            <w:r w:rsidRPr="00D4356A">
              <w:rPr>
                <w:rFonts w:ascii="Arial" w:hAnsi="Arial" w:cs="Arial"/>
                <w:sz w:val="20"/>
                <w:szCs w:val="20"/>
              </w:rPr>
              <w:t xml:space="preserve">Чистий оборотний капітал                                                                            </w:t>
            </w:r>
          </w:p>
        </w:tc>
        <w:tc>
          <w:tcPr>
            <w:tcW w:w="1843" w:type="dxa"/>
          </w:tcPr>
          <w:p w:rsidR="00D4356A" w:rsidRDefault="00D4356A" w:rsidP="00D4356A">
            <w:pPr>
              <w:spacing w:before="120"/>
              <w:jc w:val="right"/>
              <w:rPr>
                <w:rFonts w:ascii="Arial" w:hAnsi="Arial" w:cs="Arial"/>
                <w:sz w:val="20"/>
                <w:szCs w:val="20"/>
              </w:rPr>
            </w:pPr>
            <w:r>
              <w:rPr>
                <w:rFonts w:ascii="Arial" w:hAnsi="Arial" w:cs="Arial"/>
                <w:sz w:val="20"/>
                <w:szCs w:val="20"/>
              </w:rPr>
              <w:t>164092</w:t>
            </w:r>
          </w:p>
        </w:tc>
        <w:tc>
          <w:tcPr>
            <w:tcW w:w="1695" w:type="dxa"/>
          </w:tcPr>
          <w:p w:rsidR="00D4356A" w:rsidRDefault="00D4356A" w:rsidP="00D4356A">
            <w:pPr>
              <w:spacing w:before="120"/>
              <w:jc w:val="right"/>
              <w:rPr>
                <w:rFonts w:ascii="Arial" w:hAnsi="Arial" w:cs="Arial"/>
                <w:sz w:val="20"/>
                <w:szCs w:val="20"/>
              </w:rPr>
            </w:pPr>
            <w:r>
              <w:rPr>
                <w:rFonts w:ascii="Arial" w:hAnsi="Arial" w:cs="Arial"/>
                <w:sz w:val="20"/>
                <w:szCs w:val="20"/>
              </w:rPr>
              <w:t>102041</w:t>
            </w:r>
          </w:p>
        </w:tc>
      </w:tr>
    </w:tbl>
    <w:p w:rsidR="0022285A" w:rsidRPr="00D4356A" w:rsidRDefault="0022285A" w:rsidP="007D5293">
      <w:pPr>
        <w:spacing w:before="120"/>
        <w:rPr>
          <w:rFonts w:ascii="Arial" w:hAnsi="Arial" w:cs="Arial"/>
          <w:sz w:val="20"/>
          <w:szCs w:val="20"/>
        </w:rPr>
      </w:pPr>
    </w:p>
    <w:p w:rsidR="004D1BFC" w:rsidRPr="00D4356A" w:rsidRDefault="00DD3CE4" w:rsidP="00DD3CE4">
      <w:pPr>
        <w:pStyle w:val="41"/>
        <w:tabs>
          <w:tab w:val="left" w:pos="284"/>
        </w:tabs>
        <w:spacing w:line="276" w:lineRule="auto"/>
        <w:outlineLvl w:val="1"/>
        <w:rPr>
          <w:lang w:val="uk-UA" w:eastAsia="uk-UA"/>
        </w:rPr>
      </w:pPr>
      <w:r w:rsidRPr="00D4356A">
        <w:rPr>
          <w:lang w:val="uk-UA" w:eastAsia="uk-UA"/>
        </w:rPr>
        <w:t>4.</w:t>
      </w:r>
      <w:r w:rsidR="004D1BFC" w:rsidRPr="00D4356A">
        <w:rPr>
          <w:lang w:val="uk-UA" w:eastAsia="uk-UA"/>
        </w:rPr>
        <w:t xml:space="preserve"> РИЗИКИ ТА ЕКОНОМІЧНА СИТУАЦІЯ</w:t>
      </w:r>
    </w:p>
    <w:p w:rsidR="00D4356A" w:rsidRPr="00D4356A" w:rsidRDefault="00D4356A" w:rsidP="00D4356A">
      <w:pPr>
        <w:pStyle w:val="fs-0"/>
        <w:rPr>
          <w:color w:val="000000" w:themeColor="text1"/>
          <w:szCs w:val="20"/>
        </w:rPr>
      </w:pPr>
      <w:bookmarkStart w:id="4" w:name="_Toc41402133"/>
      <w:r w:rsidRPr="00D4356A">
        <w:rPr>
          <w:color w:val="000000" w:themeColor="text1"/>
          <w:szCs w:val="20"/>
        </w:rPr>
        <w:t>Компанія здійснює свою діяльність на території України.</w:t>
      </w:r>
    </w:p>
    <w:p w:rsidR="00D4356A" w:rsidRPr="00D4356A" w:rsidRDefault="00D4356A" w:rsidP="00D4356A">
      <w:pPr>
        <w:pStyle w:val="fs-0"/>
        <w:rPr>
          <w:szCs w:val="20"/>
        </w:rPr>
      </w:pPr>
      <w:r w:rsidRPr="00D4356A">
        <w:rPr>
          <w:szCs w:val="20"/>
        </w:rPr>
        <w:t>24 лютого 2022 російська федерація розпочала військове вторгнення в Україну, що призвело до повномасштабної війни на території Української держави. Військова атака, що триває, призвела та продовжує призводити до значних жертв, перем</w:t>
      </w:r>
      <w:r w:rsidRPr="00D4356A">
        <w:rPr>
          <w:szCs w:val="20"/>
          <w:rtl/>
        </w:rPr>
        <w:t>іщення</w:t>
      </w:r>
      <w:r w:rsidRPr="00D4356A">
        <w:rPr>
          <w:szCs w:val="20"/>
        </w:rPr>
        <w:t xml:space="preserve"> населення, пошкодження інфраструктури та порушення економічної діяльності в Україні та тимчасової окупації її деяких територій.</w:t>
      </w:r>
    </w:p>
    <w:p w:rsidR="00D4356A" w:rsidRPr="00D4356A" w:rsidRDefault="00D4356A" w:rsidP="00D4356A">
      <w:pPr>
        <w:pStyle w:val="fs-0"/>
        <w:rPr>
          <w:szCs w:val="20"/>
        </w:rPr>
      </w:pPr>
      <w:r w:rsidRPr="00D4356A">
        <w:rPr>
          <w:szCs w:val="20"/>
        </w:rPr>
        <w:t>У 2023 році українські суб’єкти господарювання продовжували свою господарську діяльність у цьому складному економ</w:t>
      </w:r>
      <w:r w:rsidRPr="00D4356A">
        <w:rPr>
          <w:szCs w:val="20"/>
          <w:rtl/>
        </w:rPr>
        <w:t>і</w:t>
      </w:r>
      <w:r w:rsidRPr="00D4356A">
        <w:rPr>
          <w:szCs w:val="20"/>
        </w:rPr>
        <w:t>чному середовищ</w:t>
      </w:r>
      <w:r w:rsidRPr="00D4356A">
        <w:rPr>
          <w:szCs w:val="20"/>
          <w:rtl/>
        </w:rPr>
        <w:t>і</w:t>
      </w:r>
      <w:r w:rsidRPr="00D4356A">
        <w:rPr>
          <w:szCs w:val="20"/>
        </w:rPr>
        <w:t xml:space="preserve">, стикаючись </w:t>
      </w:r>
      <w:r w:rsidRPr="00D4356A">
        <w:rPr>
          <w:szCs w:val="20"/>
          <w:rtl/>
        </w:rPr>
        <w:t>і</w:t>
      </w:r>
      <w:r w:rsidRPr="00D4356A">
        <w:rPr>
          <w:szCs w:val="20"/>
        </w:rPr>
        <w:t>з порушенням ланцюг</w:t>
      </w:r>
      <w:r w:rsidRPr="00D4356A">
        <w:rPr>
          <w:szCs w:val="20"/>
          <w:rtl/>
        </w:rPr>
        <w:t>і</w:t>
      </w:r>
      <w:r w:rsidRPr="00D4356A">
        <w:rPr>
          <w:szCs w:val="20"/>
        </w:rPr>
        <w:t>в поставок, підвищенням витрат на б</w:t>
      </w:r>
      <w:r w:rsidRPr="00D4356A">
        <w:rPr>
          <w:szCs w:val="20"/>
          <w:rtl/>
        </w:rPr>
        <w:t>і</w:t>
      </w:r>
      <w:r w:rsidRPr="00D4356A">
        <w:rPr>
          <w:szCs w:val="20"/>
        </w:rPr>
        <w:t>знес, постійною загрозою ф</w:t>
      </w:r>
      <w:r w:rsidRPr="00D4356A">
        <w:rPr>
          <w:szCs w:val="20"/>
          <w:rtl/>
        </w:rPr>
        <w:t>і</w:t>
      </w:r>
      <w:r w:rsidRPr="00D4356A">
        <w:rPr>
          <w:szCs w:val="20"/>
        </w:rPr>
        <w:t xml:space="preserve">зичних руйнувань виробничих потужностей та інфраструктури. </w:t>
      </w:r>
    </w:p>
    <w:p w:rsidR="00D4356A" w:rsidRPr="00D4356A" w:rsidRDefault="00D4356A" w:rsidP="00D4356A">
      <w:pPr>
        <w:pStyle w:val="fs-0"/>
        <w:rPr>
          <w:szCs w:val="20"/>
        </w:rPr>
      </w:pPr>
      <w:r w:rsidRPr="00D4356A">
        <w:rPr>
          <w:szCs w:val="20"/>
        </w:rPr>
        <w:t>Зг</w:t>
      </w:r>
      <w:r w:rsidRPr="00D4356A">
        <w:rPr>
          <w:szCs w:val="20"/>
          <w:rtl/>
        </w:rPr>
        <w:t>і</w:t>
      </w:r>
      <w:r w:rsidRPr="00D4356A">
        <w:rPr>
          <w:szCs w:val="20"/>
        </w:rPr>
        <w:t xml:space="preserve">дно з </w:t>
      </w:r>
      <w:r w:rsidRPr="00D4356A">
        <w:rPr>
          <w:szCs w:val="20"/>
          <w:rtl/>
        </w:rPr>
        <w:t>і</w:t>
      </w:r>
      <w:r w:rsidRPr="00D4356A">
        <w:rPr>
          <w:szCs w:val="20"/>
        </w:rPr>
        <w:t>нфляц</w:t>
      </w:r>
      <w:r w:rsidRPr="00D4356A">
        <w:rPr>
          <w:szCs w:val="20"/>
          <w:rtl/>
        </w:rPr>
        <w:t>і</w:t>
      </w:r>
      <w:r w:rsidRPr="00D4356A">
        <w:rPr>
          <w:szCs w:val="20"/>
        </w:rPr>
        <w:t>йним зв</w:t>
      </w:r>
      <w:r w:rsidRPr="00D4356A">
        <w:rPr>
          <w:szCs w:val="20"/>
          <w:rtl/>
        </w:rPr>
        <w:t>і</w:t>
      </w:r>
      <w:r w:rsidRPr="00D4356A">
        <w:rPr>
          <w:szCs w:val="20"/>
        </w:rPr>
        <w:t>том НБУ, у 2023 році базова інфляція сповільнилась до 4,9%. Стрімке сповільнення зумовлено низкою чинників. Зокрема, комплекс заходів НБУ з підтримання стійкості валютного ринку дав змогу знизити фундаментальний інфляційний тиск. Це обмежувало зростання цін на широкий спектр товарів з імпортною складовою та сприяло поліпшенню інфляційних та курсових очікувань. Гарні врожаї та відповідне збільшення пропозиції продуктів харчування сприяли суттєвому зниженню продовольчої інфляції. Ці чинники переважили ефекти від зростання цінового тиску з боку виробничих витрат бізнесу через подорожчання електроенергії та підвищення зарплат.</w:t>
      </w:r>
    </w:p>
    <w:p w:rsidR="00D4356A" w:rsidRPr="00D4356A" w:rsidRDefault="00D4356A" w:rsidP="00D4356A">
      <w:pPr>
        <w:pStyle w:val="fs-0"/>
        <w:rPr>
          <w:szCs w:val="20"/>
        </w:rPr>
      </w:pPr>
      <w:r w:rsidRPr="00D4356A">
        <w:rPr>
          <w:szCs w:val="20"/>
        </w:rPr>
        <w:t>НБУ знизив обл</w:t>
      </w:r>
      <w:r w:rsidRPr="00D4356A">
        <w:rPr>
          <w:szCs w:val="20"/>
          <w:rtl/>
        </w:rPr>
        <w:t>і</w:t>
      </w:r>
      <w:r w:rsidRPr="00D4356A">
        <w:rPr>
          <w:szCs w:val="20"/>
        </w:rPr>
        <w:t>кову ставку з 25% річних (у грудні 2022 року) до 15% р</w:t>
      </w:r>
      <w:r w:rsidRPr="00D4356A">
        <w:rPr>
          <w:szCs w:val="20"/>
          <w:rtl/>
        </w:rPr>
        <w:t>і</w:t>
      </w:r>
      <w:r w:rsidRPr="00D4356A">
        <w:rPr>
          <w:szCs w:val="20"/>
        </w:rPr>
        <w:t>чних з 15 грудня 2023 року. Також, прогнозує зростання реального ВВП у 2024 році до 3,6% з подальшим економ</w:t>
      </w:r>
      <w:r w:rsidRPr="00D4356A">
        <w:rPr>
          <w:szCs w:val="20"/>
          <w:rtl/>
        </w:rPr>
        <w:t>і</w:t>
      </w:r>
      <w:r w:rsidRPr="00D4356A">
        <w:rPr>
          <w:szCs w:val="20"/>
        </w:rPr>
        <w:t>чним зростанням до  6,8% у 2025 роц</w:t>
      </w:r>
      <w:r w:rsidRPr="00D4356A">
        <w:rPr>
          <w:szCs w:val="20"/>
          <w:rtl/>
        </w:rPr>
        <w:t>і</w:t>
      </w:r>
      <w:r w:rsidRPr="00D4356A">
        <w:rPr>
          <w:szCs w:val="20"/>
        </w:rPr>
        <w:t>. Насамперед, завдяки збереженню високих бюджетних видатків на тлі очікуваних обсягів міжнародної допомоги на достатньому рівні. Однак темпи економічного зростання будуть нижчими, ніж торік, у зв'язку з очікуваним зменшенням врожаїв і посиленням диспропорцій на ринку праці в умовах війни.</w:t>
      </w:r>
    </w:p>
    <w:p w:rsidR="00D4356A" w:rsidRPr="00D4356A" w:rsidRDefault="00D4356A" w:rsidP="00D4356A">
      <w:pPr>
        <w:pStyle w:val="fs-0"/>
        <w:rPr>
          <w:szCs w:val="20"/>
        </w:rPr>
      </w:pPr>
      <w:r w:rsidRPr="00D4356A">
        <w:rPr>
          <w:szCs w:val="20"/>
        </w:rPr>
        <w:t>З метою стаб</w:t>
      </w:r>
      <w:r w:rsidRPr="00D4356A">
        <w:rPr>
          <w:szCs w:val="20"/>
          <w:rtl/>
        </w:rPr>
        <w:t>і</w:t>
      </w:r>
      <w:r w:rsidRPr="00D4356A">
        <w:rPr>
          <w:szCs w:val="20"/>
        </w:rPr>
        <w:t>лізац</w:t>
      </w:r>
      <w:r w:rsidRPr="00D4356A">
        <w:rPr>
          <w:szCs w:val="20"/>
          <w:rtl/>
        </w:rPr>
        <w:t>і</w:t>
      </w:r>
      <w:r w:rsidRPr="00D4356A">
        <w:rPr>
          <w:szCs w:val="20"/>
        </w:rPr>
        <w:t>ї ф</w:t>
      </w:r>
      <w:r w:rsidRPr="00D4356A">
        <w:rPr>
          <w:szCs w:val="20"/>
          <w:rtl/>
        </w:rPr>
        <w:t>і</w:t>
      </w:r>
      <w:r w:rsidRPr="00D4356A">
        <w:rPr>
          <w:szCs w:val="20"/>
        </w:rPr>
        <w:t>нансової системи України п</w:t>
      </w:r>
      <w:r w:rsidRPr="00D4356A">
        <w:rPr>
          <w:szCs w:val="20"/>
          <w:rtl/>
        </w:rPr>
        <w:t>і</w:t>
      </w:r>
      <w:r w:rsidRPr="00D4356A">
        <w:rPr>
          <w:szCs w:val="20"/>
        </w:rPr>
        <w:t>д час в</w:t>
      </w:r>
      <w:r w:rsidRPr="00D4356A">
        <w:rPr>
          <w:szCs w:val="20"/>
          <w:rtl/>
        </w:rPr>
        <w:t>і</w:t>
      </w:r>
      <w:r w:rsidRPr="00D4356A">
        <w:rPr>
          <w:szCs w:val="20"/>
        </w:rPr>
        <w:t>йни НБУ з 21 липня 2022 року встановив  оф</w:t>
      </w:r>
      <w:r w:rsidRPr="00D4356A">
        <w:rPr>
          <w:szCs w:val="20"/>
          <w:rtl/>
        </w:rPr>
        <w:t>і</w:t>
      </w:r>
      <w:r w:rsidRPr="00D4356A">
        <w:rPr>
          <w:szCs w:val="20"/>
        </w:rPr>
        <w:t>ц</w:t>
      </w:r>
      <w:r w:rsidRPr="00D4356A">
        <w:rPr>
          <w:szCs w:val="20"/>
          <w:rtl/>
        </w:rPr>
        <w:t>і</w:t>
      </w:r>
      <w:r w:rsidRPr="00D4356A">
        <w:rPr>
          <w:szCs w:val="20"/>
        </w:rPr>
        <w:t>йний курс гривн</w:t>
      </w:r>
      <w:r w:rsidRPr="00D4356A">
        <w:rPr>
          <w:szCs w:val="20"/>
          <w:rtl/>
        </w:rPr>
        <w:t>і</w:t>
      </w:r>
      <w:r w:rsidRPr="00D4356A">
        <w:rPr>
          <w:szCs w:val="20"/>
        </w:rPr>
        <w:t xml:space="preserve"> на р</w:t>
      </w:r>
      <w:r w:rsidRPr="00D4356A">
        <w:rPr>
          <w:szCs w:val="20"/>
          <w:rtl/>
        </w:rPr>
        <w:t>і</w:t>
      </w:r>
      <w:r w:rsidRPr="00D4356A">
        <w:rPr>
          <w:szCs w:val="20"/>
        </w:rPr>
        <w:t>вн</w:t>
      </w:r>
      <w:r w:rsidRPr="00D4356A">
        <w:rPr>
          <w:szCs w:val="20"/>
          <w:rtl/>
        </w:rPr>
        <w:t>і</w:t>
      </w:r>
      <w:r w:rsidRPr="00D4356A">
        <w:rPr>
          <w:szCs w:val="20"/>
        </w:rPr>
        <w:t xml:space="preserve"> 36,57 грн за долар. У липн</w:t>
      </w:r>
      <w:r w:rsidRPr="00D4356A">
        <w:rPr>
          <w:szCs w:val="20"/>
          <w:rtl/>
        </w:rPr>
        <w:t>і</w:t>
      </w:r>
      <w:r w:rsidRPr="00D4356A">
        <w:rPr>
          <w:szCs w:val="20"/>
        </w:rPr>
        <w:t xml:space="preserve"> 2023 року НБУ оголосив про плани щодо  послаблення валютних обмежень і повернення до плаваючого курсу. З вересн</w:t>
      </w:r>
      <w:r w:rsidRPr="00D4356A">
        <w:rPr>
          <w:szCs w:val="20"/>
          <w:rtl/>
        </w:rPr>
        <w:t>я</w:t>
      </w:r>
      <w:r w:rsidRPr="00D4356A">
        <w:rPr>
          <w:szCs w:val="20"/>
        </w:rPr>
        <w:t xml:space="preserve"> 2023 року, оскільки,  економ</w:t>
      </w:r>
      <w:r w:rsidRPr="00D4356A">
        <w:rPr>
          <w:szCs w:val="20"/>
          <w:rtl/>
        </w:rPr>
        <w:t>і</w:t>
      </w:r>
      <w:r w:rsidRPr="00D4356A">
        <w:rPr>
          <w:szCs w:val="20"/>
        </w:rPr>
        <w:t>ка та ф</w:t>
      </w:r>
      <w:r w:rsidRPr="00D4356A">
        <w:rPr>
          <w:szCs w:val="20"/>
          <w:rtl/>
        </w:rPr>
        <w:t>і</w:t>
      </w:r>
      <w:r w:rsidRPr="00D4356A">
        <w:rPr>
          <w:szCs w:val="20"/>
        </w:rPr>
        <w:t>нансова система України повернулась до нормального функц</w:t>
      </w:r>
      <w:r w:rsidRPr="00D4356A">
        <w:rPr>
          <w:szCs w:val="20"/>
          <w:rtl/>
        </w:rPr>
        <w:t>і</w:t>
      </w:r>
      <w:r w:rsidRPr="00D4356A">
        <w:rPr>
          <w:szCs w:val="20"/>
        </w:rPr>
        <w:t>онування, в</w:t>
      </w:r>
      <w:r w:rsidRPr="00D4356A">
        <w:rPr>
          <w:szCs w:val="20"/>
          <w:rtl/>
        </w:rPr>
        <w:t>і</w:t>
      </w:r>
      <w:r w:rsidRPr="00D4356A">
        <w:rPr>
          <w:szCs w:val="20"/>
        </w:rPr>
        <w:t>дновлено плаваючий обм</w:t>
      </w:r>
      <w:r w:rsidRPr="00D4356A">
        <w:rPr>
          <w:szCs w:val="20"/>
          <w:rtl/>
        </w:rPr>
        <w:t>і</w:t>
      </w:r>
      <w:r w:rsidRPr="00D4356A">
        <w:rPr>
          <w:szCs w:val="20"/>
        </w:rPr>
        <w:t>нний курс.</w:t>
      </w:r>
    </w:p>
    <w:p w:rsidR="00D4356A" w:rsidRPr="00D4356A" w:rsidRDefault="00D4356A" w:rsidP="00D4356A">
      <w:pPr>
        <w:pStyle w:val="fs-0"/>
        <w:rPr>
          <w:szCs w:val="20"/>
        </w:rPr>
      </w:pPr>
      <w:r w:rsidRPr="00D4356A">
        <w:rPr>
          <w:szCs w:val="20"/>
        </w:rPr>
        <w:t>Уряд продовжує впроваджувати заходи щодо стаб</w:t>
      </w:r>
      <w:r w:rsidRPr="00D4356A">
        <w:rPr>
          <w:szCs w:val="20"/>
          <w:rtl/>
        </w:rPr>
        <w:t>і</w:t>
      </w:r>
      <w:r w:rsidRPr="00D4356A">
        <w:rPr>
          <w:szCs w:val="20"/>
        </w:rPr>
        <w:t>л</w:t>
      </w:r>
      <w:r w:rsidRPr="00D4356A">
        <w:rPr>
          <w:szCs w:val="20"/>
          <w:rtl/>
        </w:rPr>
        <w:t>і</w:t>
      </w:r>
      <w:r w:rsidRPr="00D4356A">
        <w:rPr>
          <w:szCs w:val="20"/>
        </w:rPr>
        <w:t>зац</w:t>
      </w:r>
      <w:r w:rsidRPr="00D4356A">
        <w:rPr>
          <w:szCs w:val="20"/>
          <w:rtl/>
        </w:rPr>
        <w:t>і</w:t>
      </w:r>
      <w:r w:rsidRPr="00D4356A">
        <w:rPr>
          <w:szCs w:val="20"/>
        </w:rPr>
        <w:t>ї ринк</w:t>
      </w:r>
      <w:r w:rsidRPr="00D4356A">
        <w:rPr>
          <w:szCs w:val="20"/>
          <w:rtl/>
        </w:rPr>
        <w:t>і</w:t>
      </w:r>
      <w:r w:rsidRPr="00D4356A">
        <w:rPr>
          <w:szCs w:val="20"/>
        </w:rPr>
        <w:t>в та економ</w:t>
      </w:r>
      <w:r w:rsidRPr="00D4356A">
        <w:rPr>
          <w:szCs w:val="20"/>
          <w:rtl/>
        </w:rPr>
        <w:t>і</w:t>
      </w:r>
      <w:r w:rsidRPr="00D4356A">
        <w:rPr>
          <w:szCs w:val="20"/>
        </w:rPr>
        <w:t>ки. М</w:t>
      </w:r>
      <w:r w:rsidRPr="00D4356A">
        <w:rPr>
          <w:szCs w:val="20"/>
          <w:rtl/>
        </w:rPr>
        <w:t>і</w:t>
      </w:r>
      <w:r w:rsidRPr="00D4356A">
        <w:rPr>
          <w:szCs w:val="20"/>
        </w:rPr>
        <w:t>жнародн</w:t>
      </w:r>
      <w:r w:rsidRPr="00D4356A">
        <w:rPr>
          <w:szCs w:val="20"/>
          <w:rtl/>
        </w:rPr>
        <w:t>і</w:t>
      </w:r>
      <w:r w:rsidRPr="00D4356A">
        <w:rPr>
          <w:szCs w:val="20"/>
        </w:rPr>
        <w:t xml:space="preserve"> орган</w:t>
      </w:r>
      <w:r w:rsidRPr="00D4356A">
        <w:rPr>
          <w:szCs w:val="20"/>
          <w:rtl/>
        </w:rPr>
        <w:t>і</w:t>
      </w:r>
      <w:r w:rsidRPr="00D4356A">
        <w:rPr>
          <w:szCs w:val="20"/>
        </w:rPr>
        <w:t>зац</w:t>
      </w:r>
      <w:r w:rsidRPr="00D4356A">
        <w:rPr>
          <w:szCs w:val="20"/>
          <w:rtl/>
        </w:rPr>
        <w:t>і</w:t>
      </w:r>
      <w:r w:rsidRPr="00D4356A">
        <w:rPr>
          <w:szCs w:val="20"/>
        </w:rPr>
        <w:t>ї  (так</w:t>
      </w:r>
      <w:r w:rsidRPr="00D4356A">
        <w:rPr>
          <w:szCs w:val="20"/>
          <w:rtl/>
        </w:rPr>
        <w:t>і</w:t>
      </w:r>
      <w:r w:rsidRPr="00D4356A">
        <w:rPr>
          <w:szCs w:val="20"/>
        </w:rPr>
        <w:t xml:space="preserve"> як МВФ, ЄБРР, ЄС, Св</w:t>
      </w:r>
      <w:r w:rsidRPr="00D4356A">
        <w:rPr>
          <w:szCs w:val="20"/>
          <w:rtl/>
        </w:rPr>
        <w:t>і</w:t>
      </w:r>
      <w:r w:rsidRPr="00D4356A">
        <w:rPr>
          <w:szCs w:val="20"/>
        </w:rPr>
        <w:t>товий банк), а також окрем</w:t>
      </w:r>
      <w:r w:rsidRPr="00D4356A">
        <w:rPr>
          <w:szCs w:val="20"/>
          <w:rtl/>
        </w:rPr>
        <w:t>і</w:t>
      </w:r>
      <w:r w:rsidRPr="00D4356A">
        <w:rPr>
          <w:szCs w:val="20"/>
        </w:rPr>
        <w:t xml:space="preserve"> країни та благод</w:t>
      </w:r>
      <w:r w:rsidRPr="00D4356A">
        <w:rPr>
          <w:szCs w:val="20"/>
          <w:rtl/>
        </w:rPr>
        <w:t>і</w:t>
      </w:r>
      <w:r w:rsidRPr="00D4356A">
        <w:rPr>
          <w:szCs w:val="20"/>
        </w:rPr>
        <w:t>йн</w:t>
      </w:r>
      <w:r w:rsidRPr="00D4356A">
        <w:rPr>
          <w:szCs w:val="20"/>
          <w:rtl/>
        </w:rPr>
        <w:t>і</w:t>
      </w:r>
      <w:r w:rsidRPr="00D4356A">
        <w:rPr>
          <w:szCs w:val="20"/>
        </w:rPr>
        <w:t xml:space="preserve"> орган</w:t>
      </w:r>
      <w:r w:rsidRPr="00D4356A">
        <w:rPr>
          <w:szCs w:val="20"/>
          <w:rtl/>
        </w:rPr>
        <w:t>і</w:t>
      </w:r>
      <w:r w:rsidRPr="00D4356A">
        <w:rPr>
          <w:szCs w:val="20"/>
        </w:rPr>
        <w:t>зац</w:t>
      </w:r>
      <w:r w:rsidRPr="00D4356A">
        <w:rPr>
          <w:szCs w:val="20"/>
          <w:rtl/>
        </w:rPr>
        <w:t>і</w:t>
      </w:r>
      <w:r w:rsidRPr="00D4356A">
        <w:rPr>
          <w:szCs w:val="20"/>
        </w:rPr>
        <w:t>ї  надають  Україн</w:t>
      </w:r>
      <w:r w:rsidRPr="00D4356A">
        <w:rPr>
          <w:szCs w:val="20"/>
          <w:rtl/>
        </w:rPr>
        <w:t>і</w:t>
      </w:r>
      <w:r w:rsidRPr="00D4356A">
        <w:rPr>
          <w:szCs w:val="20"/>
        </w:rPr>
        <w:t xml:space="preserve"> ф</w:t>
      </w:r>
      <w:r w:rsidRPr="00D4356A">
        <w:rPr>
          <w:szCs w:val="20"/>
          <w:rtl/>
        </w:rPr>
        <w:t>і</w:t>
      </w:r>
      <w:r w:rsidRPr="00D4356A">
        <w:rPr>
          <w:szCs w:val="20"/>
        </w:rPr>
        <w:t>нансування, пожертви та матер</w:t>
      </w:r>
      <w:r w:rsidRPr="00D4356A">
        <w:rPr>
          <w:szCs w:val="20"/>
          <w:rtl/>
        </w:rPr>
        <w:t>і</w:t>
      </w:r>
      <w:r w:rsidRPr="00D4356A">
        <w:rPr>
          <w:szCs w:val="20"/>
        </w:rPr>
        <w:t>альну п</w:t>
      </w:r>
      <w:r w:rsidRPr="00D4356A">
        <w:rPr>
          <w:szCs w:val="20"/>
          <w:rtl/>
        </w:rPr>
        <w:t>і</w:t>
      </w:r>
      <w:r w:rsidRPr="00D4356A">
        <w:rPr>
          <w:szCs w:val="20"/>
        </w:rPr>
        <w:t>дтримку. М</w:t>
      </w:r>
      <w:r w:rsidRPr="00D4356A">
        <w:rPr>
          <w:szCs w:val="20"/>
          <w:rtl/>
        </w:rPr>
        <w:t>і</w:t>
      </w:r>
      <w:r w:rsidRPr="00D4356A">
        <w:rPr>
          <w:szCs w:val="20"/>
        </w:rPr>
        <w:t>жнародна допомога залишається  важливим джерелом ф</w:t>
      </w:r>
      <w:r w:rsidRPr="00D4356A">
        <w:rPr>
          <w:szCs w:val="20"/>
          <w:rtl/>
        </w:rPr>
        <w:t>і</w:t>
      </w:r>
      <w:r w:rsidRPr="00D4356A">
        <w:rPr>
          <w:szCs w:val="20"/>
        </w:rPr>
        <w:t>нансування потреб державного бюджету.</w:t>
      </w:r>
    </w:p>
    <w:p w:rsidR="00D4356A" w:rsidRPr="00D4356A" w:rsidRDefault="00D4356A" w:rsidP="00D4356A">
      <w:pPr>
        <w:pStyle w:val="fs-0"/>
        <w:rPr>
          <w:color w:val="000000" w:themeColor="text1"/>
          <w:szCs w:val="20"/>
        </w:rPr>
      </w:pPr>
      <w:r w:rsidRPr="00D4356A">
        <w:rPr>
          <w:color w:val="000000" w:themeColor="text1"/>
          <w:szCs w:val="20"/>
        </w:rPr>
        <w:t xml:space="preserve">Всі активи Компанії розміщені за межами територій де, на даний момент часу ведуться активні бойові дії. </w:t>
      </w:r>
    </w:p>
    <w:bookmarkEnd w:id="4"/>
    <w:p w:rsidR="00D4356A" w:rsidRPr="00D4356A" w:rsidRDefault="00D4356A" w:rsidP="00D4356A">
      <w:pPr>
        <w:pStyle w:val="fs-0"/>
        <w:rPr>
          <w:szCs w:val="20"/>
        </w:rPr>
      </w:pPr>
      <w:r w:rsidRPr="00D4356A">
        <w:rPr>
          <w:szCs w:val="20"/>
        </w:rPr>
        <w:t xml:space="preserve">Основні ризики, притаманні фінансовим інструментам Компанії: валютний ризик, ризик ліквідності та кредитний ризик. Підходи до управління кожним із цих ризиків представлені нижче. </w:t>
      </w:r>
    </w:p>
    <w:p w:rsidR="00D4356A" w:rsidRPr="00D4356A" w:rsidRDefault="00D4356A" w:rsidP="00D4356A">
      <w:pPr>
        <w:pStyle w:val="fs-0"/>
        <w:keepNext/>
        <w:rPr>
          <w:szCs w:val="20"/>
        </w:rPr>
      </w:pPr>
      <w:r w:rsidRPr="00D4356A">
        <w:rPr>
          <w:szCs w:val="20"/>
        </w:rPr>
        <w:t>Основні категорії фінансових інструментів представлені таким чином:</w:t>
      </w:r>
    </w:p>
    <w:tbl>
      <w:tblPr>
        <w:tblW w:w="9637" w:type="dxa"/>
        <w:tblInd w:w="30" w:type="dxa"/>
        <w:tblLayout w:type="fixed"/>
        <w:tblLook w:val="04A0" w:firstRow="1" w:lastRow="0" w:firstColumn="1" w:lastColumn="0" w:noHBand="0" w:noVBand="1"/>
      </w:tblPr>
      <w:tblGrid>
        <w:gridCol w:w="6803"/>
        <w:gridCol w:w="1417"/>
        <w:gridCol w:w="1417"/>
      </w:tblGrid>
      <w:tr w:rsidR="00D4356A" w:rsidRPr="00D4356A" w:rsidTr="00950F4E">
        <w:trPr>
          <w:trHeight w:val="20"/>
        </w:trPr>
        <w:tc>
          <w:tcPr>
            <w:tcW w:w="6803" w:type="dxa"/>
            <w:tcBorders>
              <w:bottom w:val="single" w:sz="4" w:space="0" w:color="auto"/>
            </w:tcBorders>
            <w:shd w:val="clear" w:color="auto" w:fill="auto"/>
            <w:vAlign w:val="center"/>
            <w:hideMark/>
          </w:tcPr>
          <w:p w:rsidR="00D4356A" w:rsidRPr="00D4356A" w:rsidRDefault="00D4356A" w:rsidP="00950F4E">
            <w:pPr>
              <w:pStyle w:val="fs-4"/>
              <w:keepNext/>
              <w:jc w:val="center"/>
              <w:rPr>
                <w:b/>
                <w:sz w:val="20"/>
                <w:szCs w:val="20"/>
              </w:rPr>
            </w:pPr>
          </w:p>
        </w:tc>
        <w:tc>
          <w:tcPr>
            <w:tcW w:w="1417" w:type="dxa"/>
            <w:tcBorders>
              <w:bottom w:val="single" w:sz="4" w:space="0" w:color="auto"/>
            </w:tcBorders>
            <w:vAlign w:val="center"/>
          </w:tcPr>
          <w:p w:rsidR="00D4356A" w:rsidRPr="00D4356A" w:rsidRDefault="00D4356A" w:rsidP="00950F4E">
            <w:pPr>
              <w:pStyle w:val="fs-4"/>
              <w:keepNext/>
              <w:jc w:val="center"/>
              <w:rPr>
                <w:b/>
                <w:sz w:val="20"/>
                <w:szCs w:val="20"/>
              </w:rPr>
            </w:pPr>
            <w:r w:rsidRPr="00D4356A">
              <w:rPr>
                <w:b/>
                <w:sz w:val="20"/>
                <w:szCs w:val="20"/>
              </w:rPr>
              <w:t>31.12.2023</w:t>
            </w:r>
          </w:p>
        </w:tc>
        <w:tc>
          <w:tcPr>
            <w:tcW w:w="1417" w:type="dxa"/>
            <w:tcBorders>
              <w:bottom w:val="single" w:sz="4" w:space="0" w:color="auto"/>
            </w:tcBorders>
            <w:vAlign w:val="center"/>
          </w:tcPr>
          <w:p w:rsidR="00D4356A" w:rsidRPr="00D4356A" w:rsidRDefault="00D4356A" w:rsidP="00950F4E">
            <w:pPr>
              <w:pStyle w:val="fs-4"/>
              <w:keepNext/>
              <w:jc w:val="center"/>
              <w:rPr>
                <w:b/>
                <w:sz w:val="20"/>
                <w:szCs w:val="20"/>
              </w:rPr>
            </w:pPr>
            <w:r w:rsidRPr="00D4356A">
              <w:rPr>
                <w:b/>
                <w:sz w:val="20"/>
                <w:szCs w:val="20"/>
              </w:rPr>
              <w:t>31.12.2022</w:t>
            </w:r>
          </w:p>
        </w:tc>
      </w:tr>
      <w:tr w:rsidR="00D4356A" w:rsidRPr="00D4356A" w:rsidTr="00950F4E">
        <w:trPr>
          <w:trHeight w:val="20"/>
        </w:trPr>
        <w:tc>
          <w:tcPr>
            <w:tcW w:w="6803" w:type="dxa"/>
            <w:shd w:val="clear" w:color="auto" w:fill="auto"/>
            <w:vAlign w:val="center"/>
          </w:tcPr>
          <w:p w:rsidR="00D4356A" w:rsidRPr="00D4356A" w:rsidRDefault="00D4356A" w:rsidP="00950F4E">
            <w:pPr>
              <w:pStyle w:val="fs-4"/>
              <w:keepNext/>
              <w:rPr>
                <w:sz w:val="20"/>
                <w:szCs w:val="20"/>
              </w:rPr>
            </w:pPr>
            <w:r w:rsidRPr="00D4356A">
              <w:rPr>
                <w:sz w:val="20"/>
                <w:szCs w:val="20"/>
              </w:rPr>
              <w:t>Дебіторська заборгованість за продукцію, товари, роботи, послуги</w:t>
            </w:r>
          </w:p>
        </w:tc>
        <w:tc>
          <w:tcPr>
            <w:tcW w:w="1417" w:type="dxa"/>
            <w:vAlign w:val="center"/>
          </w:tcPr>
          <w:p w:rsidR="00D4356A" w:rsidRPr="00D4356A" w:rsidRDefault="00D4356A" w:rsidP="00950F4E">
            <w:pPr>
              <w:pStyle w:val="fs-4"/>
              <w:keepNext/>
              <w:jc w:val="right"/>
              <w:rPr>
                <w:sz w:val="20"/>
                <w:szCs w:val="20"/>
              </w:rPr>
            </w:pPr>
            <w:r w:rsidRPr="00D4356A">
              <w:rPr>
                <w:sz w:val="20"/>
                <w:szCs w:val="20"/>
              </w:rPr>
              <w:t>218 506</w:t>
            </w:r>
          </w:p>
        </w:tc>
        <w:tc>
          <w:tcPr>
            <w:tcW w:w="1417" w:type="dxa"/>
            <w:vAlign w:val="center"/>
          </w:tcPr>
          <w:p w:rsidR="00D4356A" w:rsidRPr="00D4356A" w:rsidRDefault="00D4356A" w:rsidP="00950F4E">
            <w:pPr>
              <w:pStyle w:val="fs-4"/>
              <w:keepNext/>
              <w:jc w:val="right"/>
              <w:rPr>
                <w:sz w:val="20"/>
                <w:szCs w:val="20"/>
              </w:rPr>
            </w:pPr>
            <w:r w:rsidRPr="00D4356A">
              <w:rPr>
                <w:sz w:val="20"/>
                <w:szCs w:val="20"/>
              </w:rPr>
              <w:t>169 547</w:t>
            </w:r>
          </w:p>
        </w:tc>
      </w:tr>
      <w:tr w:rsidR="00D4356A" w:rsidRPr="00D4356A" w:rsidTr="00950F4E">
        <w:trPr>
          <w:trHeight w:val="20"/>
        </w:trPr>
        <w:tc>
          <w:tcPr>
            <w:tcW w:w="6803" w:type="dxa"/>
            <w:shd w:val="clear" w:color="auto" w:fill="auto"/>
            <w:vAlign w:val="center"/>
            <w:hideMark/>
          </w:tcPr>
          <w:p w:rsidR="00D4356A" w:rsidRPr="00D4356A" w:rsidRDefault="00D4356A" w:rsidP="00950F4E">
            <w:pPr>
              <w:pStyle w:val="fs-4"/>
              <w:keepNext/>
              <w:rPr>
                <w:sz w:val="20"/>
                <w:szCs w:val="20"/>
              </w:rPr>
            </w:pPr>
            <w:r w:rsidRPr="00D4356A">
              <w:rPr>
                <w:sz w:val="20"/>
                <w:szCs w:val="20"/>
              </w:rPr>
              <w:t>Інша поточна дебіторська заборгованість</w:t>
            </w:r>
          </w:p>
        </w:tc>
        <w:tc>
          <w:tcPr>
            <w:tcW w:w="1417" w:type="dxa"/>
            <w:vAlign w:val="center"/>
          </w:tcPr>
          <w:p w:rsidR="00D4356A" w:rsidRPr="00D4356A" w:rsidRDefault="00D4356A" w:rsidP="00950F4E">
            <w:pPr>
              <w:pStyle w:val="fs-4"/>
              <w:keepNext/>
              <w:jc w:val="right"/>
              <w:rPr>
                <w:sz w:val="20"/>
                <w:szCs w:val="20"/>
              </w:rPr>
            </w:pPr>
            <w:r w:rsidRPr="00D4356A">
              <w:rPr>
                <w:sz w:val="20"/>
                <w:szCs w:val="20"/>
              </w:rPr>
              <w:t>336</w:t>
            </w:r>
          </w:p>
        </w:tc>
        <w:tc>
          <w:tcPr>
            <w:tcW w:w="1417" w:type="dxa"/>
            <w:vAlign w:val="center"/>
          </w:tcPr>
          <w:p w:rsidR="00D4356A" w:rsidRPr="00D4356A" w:rsidRDefault="00D4356A" w:rsidP="00950F4E">
            <w:pPr>
              <w:pStyle w:val="fs-4"/>
              <w:keepNext/>
              <w:jc w:val="right"/>
              <w:rPr>
                <w:sz w:val="20"/>
                <w:szCs w:val="20"/>
              </w:rPr>
            </w:pPr>
            <w:r w:rsidRPr="00D4356A">
              <w:rPr>
                <w:sz w:val="20"/>
                <w:szCs w:val="20"/>
              </w:rPr>
              <w:t>960</w:t>
            </w:r>
          </w:p>
        </w:tc>
      </w:tr>
      <w:tr w:rsidR="00D4356A" w:rsidRPr="00D4356A" w:rsidTr="00950F4E">
        <w:trPr>
          <w:trHeight w:val="20"/>
        </w:trPr>
        <w:tc>
          <w:tcPr>
            <w:tcW w:w="6803" w:type="dxa"/>
            <w:tcBorders>
              <w:bottom w:val="single" w:sz="4" w:space="0" w:color="auto"/>
            </w:tcBorders>
            <w:shd w:val="clear" w:color="auto" w:fill="auto"/>
            <w:vAlign w:val="center"/>
            <w:hideMark/>
          </w:tcPr>
          <w:p w:rsidR="00D4356A" w:rsidRPr="00D4356A" w:rsidRDefault="00D4356A" w:rsidP="00950F4E">
            <w:pPr>
              <w:pStyle w:val="fs-4"/>
              <w:keepNext/>
              <w:rPr>
                <w:sz w:val="20"/>
                <w:szCs w:val="20"/>
              </w:rPr>
            </w:pPr>
            <w:r w:rsidRPr="00D4356A">
              <w:rPr>
                <w:sz w:val="20"/>
                <w:szCs w:val="20"/>
              </w:rPr>
              <w:t>Гроші та їх еквіваленти</w:t>
            </w:r>
          </w:p>
        </w:tc>
        <w:tc>
          <w:tcPr>
            <w:tcW w:w="1417" w:type="dxa"/>
            <w:tcBorders>
              <w:bottom w:val="single" w:sz="4" w:space="0" w:color="auto"/>
            </w:tcBorders>
            <w:vAlign w:val="center"/>
          </w:tcPr>
          <w:p w:rsidR="00D4356A" w:rsidRPr="00D4356A" w:rsidRDefault="00D4356A" w:rsidP="00950F4E">
            <w:pPr>
              <w:pStyle w:val="fs-4"/>
              <w:keepNext/>
              <w:jc w:val="right"/>
              <w:rPr>
                <w:sz w:val="20"/>
                <w:szCs w:val="20"/>
              </w:rPr>
            </w:pPr>
            <w:r w:rsidRPr="00D4356A">
              <w:rPr>
                <w:sz w:val="20"/>
                <w:szCs w:val="20"/>
              </w:rPr>
              <w:t>6 639</w:t>
            </w:r>
          </w:p>
        </w:tc>
        <w:tc>
          <w:tcPr>
            <w:tcW w:w="1417" w:type="dxa"/>
            <w:tcBorders>
              <w:bottom w:val="single" w:sz="4" w:space="0" w:color="auto"/>
            </w:tcBorders>
            <w:vAlign w:val="center"/>
          </w:tcPr>
          <w:p w:rsidR="00D4356A" w:rsidRPr="00D4356A" w:rsidRDefault="00D4356A" w:rsidP="00950F4E">
            <w:pPr>
              <w:pStyle w:val="fs-4"/>
              <w:keepNext/>
              <w:jc w:val="right"/>
              <w:rPr>
                <w:sz w:val="20"/>
                <w:szCs w:val="20"/>
              </w:rPr>
            </w:pPr>
            <w:r w:rsidRPr="00D4356A">
              <w:rPr>
                <w:sz w:val="20"/>
                <w:szCs w:val="20"/>
              </w:rPr>
              <w:t>793</w:t>
            </w:r>
          </w:p>
        </w:tc>
      </w:tr>
      <w:tr w:rsidR="00D4356A" w:rsidRPr="00D4356A" w:rsidTr="00950F4E">
        <w:trPr>
          <w:trHeight w:val="20"/>
        </w:trPr>
        <w:tc>
          <w:tcPr>
            <w:tcW w:w="6803" w:type="dxa"/>
            <w:tcBorders>
              <w:top w:val="single" w:sz="4" w:space="0" w:color="auto"/>
              <w:bottom w:val="single" w:sz="4" w:space="0" w:color="auto"/>
            </w:tcBorders>
            <w:shd w:val="clear" w:color="auto" w:fill="auto"/>
            <w:vAlign w:val="center"/>
            <w:hideMark/>
          </w:tcPr>
          <w:p w:rsidR="00D4356A" w:rsidRPr="00D4356A" w:rsidRDefault="00D4356A" w:rsidP="00950F4E">
            <w:pPr>
              <w:pStyle w:val="fs-4"/>
              <w:keepNext/>
              <w:rPr>
                <w:b/>
                <w:sz w:val="20"/>
                <w:szCs w:val="20"/>
              </w:rPr>
            </w:pPr>
            <w:r w:rsidRPr="00D4356A">
              <w:rPr>
                <w:b/>
                <w:sz w:val="20"/>
                <w:szCs w:val="20"/>
              </w:rPr>
              <w:t>Всього фінансових активів</w:t>
            </w:r>
          </w:p>
        </w:tc>
        <w:tc>
          <w:tcPr>
            <w:tcW w:w="1417" w:type="dxa"/>
            <w:tcBorders>
              <w:top w:val="single" w:sz="4" w:space="0" w:color="auto"/>
              <w:bottom w:val="single" w:sz="4" w:space="0" w:color="auto"/>
            </w:tcBorders>
            <w:vAlign w:val="center"/>
          </w:tcPr>
          <w:p w:rsidR="00D4356A" w:rsidRPr="00D4356A" w:rsidRDefault="00D4356A" w:rsidP="00950F4E">
            <w:pPr>
              <w:pStyle w:val="fs-4"/>
              <w:keepNext/>
              <w:jc w:val="right"/>
              <w:rPr>
                <w:b/>
                <w:sz w:val="20"/>
                <w:szCs w:val="20"/>
              </w:rPr>
            </w:pPr>
            <w:r w:rsidRPr="00D4356A">
              <w:rPr>
                <w:b/>
                <w:bCs/>
                <w:color w:val="000000"/>
                <w:sz w:val="20"/>
                <w:szCs w:val="20"/>
              </w:rPr>
              <w:t>225 481</w:t>
            </w:r>
          </w:p>
        </w:tc>
        <w:tc>
          <w:tcPr>
            <w:tcW w:w="1417" w:type="dxa"/>
            <w:tcBorders>
              <w:top w:val="single" w:sz="4" w:space="0" w:color="auto"/>
              <w:bottom w:val="single" w:sz="4" w:space="0" w:color="auto"/>
            </w:tcBorders>
            <w:vAlign w:val="center"/>
          </w:tcPr>
          <w:p w:rsidR="00D4356A" w:rsidRPr="00D4356A" w:rsidRDefault="00D4356A" w:rsidP="00950F4E">
            <w:pPr>
              <w:pStyle w:val="fs-4"/>
              <w:keepNext/>
              <w:jc w:val="right"/>
              <w:rPr>
                <w:b/>
                <w:sz w:val="20"/>
                <w:szCs w:val="20"/>
              </w:rPr>
            </w:pPr>
            <w:r w:rsidRPr="00D4356A">
              <w:rPr>
                <w:b/>
                <w:bCs/>
                <w:color w:val="000000"/>
                <w:sz w:val="20"/>
                <w:szCs w:val="20"/>
              </w:rPr>
              <w:t>171 300</w:t>
            </w:r>
          </w:p>
        </w:tc>
      </w:tr>
      <w:tr w:rsidR="00D4356A" w:rsidRPr="00D4356A" w:rsidTr="00950F4E">
        <w:trPr>
          <w:trHeight w:val="20"/>
        </w:trPr>
        <w:tc>
          <w:tcPr>
            <w:tcW w:w="6803" w:type="dxa"/>
            <w:shd w:val="clear" w:color="auto" w:fill="auto"/>
            <w:vAlign w:val="center"/>
            <w:hideMark/>
          </w:tcPr>
          <w:p w:rsidR="00D4356A" w:rsidRPr="00D4356A" w:rsidRDefault="00D4356A" w:rsidP="00950F4E">
            <w:pPr>
              <w:pStyle w:val="fs-4"/>
              <w:keepNext/>
              <w:rPr>
                <w:sz w:val="20"/>
                <w:szCs w:val="20"/>
              </w:rPr>
            </w:pPr>
            <w:r w:rsidRPr="00D4356A">
              <w:rPr>
                <w:sz w:val="20"/>
                <w:szCs w:val="20"/>
              </w:rPr>
              <w:t>Цільове фінансування</w:t>
            </w:r>
          </w:p>
        </w:tc>
        <w:tc>
          <w:tcPr>
            <w:tcW w:w="1417" w:type="dxa"/>
            <w:vAlign w:val="center"/>
          </w:tcPr>
          <w:p w:rsidR="00D4356A" w:rsidRPr="00D4356A" w:rsidRDefault="00D4356A" w:rsidP="00950F4E">
            <w:pPr>
              <w:pStyle w:val="fs-4"/>
              <w:keepNext/>
              <w:jc w:val="right"/>
              <w:rPr>
                <w:sz w:val="20"/>
                <w:szCs w:val="20"/>
              </w:rPr>
            </w:pPr>
            <w:r w:rsidRPr="00D4356A">
              <w:rPr>
                <w:sz w:val="20"/>
                <w:szCs w:val="20"/>
              </w:rPr>
              <w:t>1 994</w:t>
            </w:r>
          </w:p>
        </w:tc>
        <w:tc>
          <w:tcPr>
            <w:tcW w:w="1417" w:type="dxa"/>
            <w:vAlign w:val="center"/>
          </w:tcPr>
          <w:p w:rsidR="00D4356A" w:rsidRPr="00D4356A" w:rsidRDefault="00D4356A" w:rsidP="00950F4E">
            <w:pPr>
              <w:pStyle w:val="fs-4"/>
              <w:keepNext/>
              <w:jc w:val="right"/>
              <w:rPr>
                <w:sz w:val="20"/>
                <w:szCs w:val="20"/>
              </w:rPr>
            </w:pPr>
            <w:r w:rsidRPr="00D4356A">
              <w:rPr>
                <w:sz w:val="20"/>
                <w:szCs w:val="20"/>
              </w:rPr>
              <w:t>655</w:t>
            </w:r>
          </w:p>
        </w:tc>
      </w:tr>
      <w:tr w:rsidR="00D4356A" w:rsidRPr="00D4356A" w:rsidTr="00950F4E">
        <w:trPr>
          <w:trHeight w:val="20"/>
        </w:trPr>
        <w:tc>
          <w:tcPr>
            <w:tcW w:w="6803" w:type="dxa"/>
            <w:shd w:val="clear" w:color="auto" w:fill="auto"/>
            <w:vAlign w:val="center"/>
            <w:hideMark/>
          </w:tcPr>
          <w:p w:rsidR="00D4356A" w:rsidRPr="00D4356A" w:rsidRDefault="00D4356A" w:rsidP="00950F4E">
            <w:pPr>
              <w:pStyle w:val="fs-4"/>
              <w:keepNext/>
              <w:rPr>
                <w:sz w:val="20"/>
                <w:szCs w:val="20"/>
              </w:rPr>
            </w:pPr>
            <w:r w:rsidRPr="00D4356A">
              <w:rPr>
                <w:sz w:val="20"/>
                <w:szCs w:val="20"/>
              </w:rPr>
              <w:t>Короткострокові кредити банків</w:t>
            </w:r>
          </w:p>
        </w:tc>
        <w:tc>
          <w:tcPr>
            <w:tcW w:w="1417" w:type="dxa"/>
            <w:vAlign w:val="center"/>
          </w:tcPr>
          <w:p w:rsidR="00D4356A" w:rsidRPr="00D4356A" w:rsidRDefault="00D4356A" w:rsidP="00950F4E">
            <w:pPr>
              <w:pStyle w:val="fs-4"/>
              <w:keepNext/>
              <w:jc w:val="right"/>
              <w:rPr>
                <w:sz w:val="20"/>
                <w:szCs w:val="20"/>
              </w:rPr>
            </w:pPr>
            <w:r w:rsidRPr="00D4356A">
              <w:rPr>
                <w:sz w:val="20"/>
                <w:szCs w:val="20"/>
              </w:rPr>
              <w:t>77 016</w:t>
            </w:r>
          </w:p>
        </w:tc>
        <w:tc>
          <w:tcPr>
            <w:tcW w:w="1417" w:type="dxa"/>
            <w:vAlign w:val="center"/>
          </w:tcPr>
          <w:p w:rsidR="00D4356A" w:rsidRPr="00D4356A" w:rsidRDefault="00D4356A" w:rsidP="00950F4E">
            <w:pPr>
              <w:pStyle w:val="fs-4"/>
              <w:keepNext/>
              <w:jc w:val="right"/>
              <w:rPr>
                <w:sz w:val="20"/>
                <w:szCs w:val="20"/>
              </w:rPr>
            </w:pPr>
            <w:r w:rsidRPr="00D4356A">
              <w:rPr>
                <w:sz w:val="20"/>
                <w:szCs w:val="20"/>
              </w:rPr>
              <w:t>90 455</w:t>
            </w:r>
          </w:p>
        </w:tc>
      </w:tr>
      <w:tr w:rsidR="00D4356A" w:rsidRPr="00D4356A" w:rsidTr="00950F4E">
        <w:trPr>
          <w:trHeight w:val="20"/>
        </w:trPr>
        <w:tc>
          <w:tcPr>
            <w:tcW w:w="6803" w:type="dxa"/>
            <w:shd w:val="clear" w:color="auto" w:fill="auto"/>
            <w:vAlign w:val="center"/>
            <w:hideMark/>
          </w:tcPr>
          <w:p w:rsidR="00D4356A" w:rsidRPr="00D4356A" w:rsidRDefault="00D4356A" w:rsidP="00950F4E">
            <w:pPr>
              <w:pStyle w:val="fs-4"/>
              <w:keepNext/>
              <w:rPr>
                <w:sz w:val="20"/>
                <w:szCs w:val="20"/>
              </w:rPr>
            </w:pPr>
            <w:r w:rsidRPr="00D4356A">
              <w:rPr>
                <w:sz w:val="20"/>
                <w:szCs w:val="20"/>
              </w:rPr>
              <w:t>Поточна кредиторська заборгованість за товари, роботи, послуги</w:t>
            </w:r>
          </w:p>
        </w:tc>
        <w:tc>
          <w:tcPr>
            <w:tcW w:w="1417" w:type="dxa"/>
            <w:vAlign w:val="center"/>
          </w:tcPr>
          <w:p w:rsidR="00D4356A" w:rsidRPr="00D4356A" w:rsidRDefault="00D4356A" w:rsidP="00950F4E">
            <w:pPr>
              <w:pStyle w:val="fs-4"/>
              <w:jc w:val="right"/>
              <w:rPr>
                <w:sz w:val="20"/>
                <w:szCs w:val="20"/>
              </w:rPr>
            </w:pPr>
            <w:r w:rsidRPr="00D4356A">
              <w:rPr>
                <w:sz w:val="20"/>
                <w:szCs w:val="20"/>
              </w:rPr>
              <w:t>48 807</w:t>
            </w:r>
          </w:p>
        </w:tc>
        <w:tc>
          <w:tcPr>
            <w:tcW w:w="1417" w:type="dxa"/>
            <w:vAlign w:val="center"/>
          </w:tcPr>
          <w:p w:rsidR="00D4356A" w:rsidRPr="00D4356A" w:rsidRDefault="00D4356A" w:rsidP="00950F4E">
            <w:pPr>
              <w:pStyle w:val="fs-4"/>
              <w:jc w:val="right"/>
              <w:rPr>
                <w:sz w:val="20"/>
                <w:szCs w:val="20"/>
              </w:rPr>
            </w:pPr>
            <w:r w:rsidRPr="00D4356A">
              <w:rPr>
                <w:sz w:val="20"/>
                <w:szCs w:val="20"/>
              </w:rPr>
              <w:t>21 987</w:t>
            </w:r>
          </w:p>
        </w:tc>
      </w:tr>
      <w:tr w:rsidR="00D4356A" w:rsidRPr="00D4356A" w:rsidTr="00950F4E">
        <w:trPr>
          <w:trHeight w:val="20"/>
        </w:trPr>
        <w:tc>
          <w:tcPr>
            <w:tcW w:w="6803" w:type="dxa"/>
            <w:tcBorders>
              <w:bottom w:val="single" w:sz="8" w:space="0" w:color="000000"/>
            </w:tcBorders>
            <w:shd w:val="clear" w:color="auto" w:fill="auto"/>
            <w:vAlign w:val="center"/>
            <w:hideMark/>
          </w:tcPr>
          <w:p w:rsidR="00D4356A" w:rsidRPr="00D4356A" w:rsidRDefault="00D4356A" w:rsidP="00950F4E">
            <w:pPr>
              <w:pStyle w:val="fs-4"/>
              <w:keepNext/>
              <w:rPr>
                <w:sz w:val="20"/>
                <w:szCs w:val="20"/>
              </w:rPr>
            </w:pPr>
            <w:r w:rsidRPr="00D4356A">
              <w:rPr>
                <w:sz w:val="20"/>
                <w:szCs w:val="20"/>
              </w:rPr>
              <w:t>Інші поточні зобов'язання</w:t>
            </w:r>
          </w:p>
        </w:tc>
        <w:tc>
          <w:tcPr>
            <w:tcW w:w="1417" w:type="dxa"/>
            <w:tcBorders>
              <w:bottom w:val="single" w:sz="8" w:space="0" w:color="000000"/>
            </w:tcBorders>
            <w:vAlign w:val="center"/>
          </w:tcPr>
          <w:p w:rsidR="00D4356A" w:rsidRPr="00D4356A" w:rsidRDefault="00D4356A" w:rsidP="00950F4E">
            <w:pPr>
              <w:pStyle w:val="fs-4"/>
              <w:jc w:val="right"/>
              <w:rPr>
                <w:sz w:val="20"/>
                <w:szCs w:val="20"/>
              </w:rPr>
            </w:pPr>
            <w:r w:rsidRPr="00D4356A">
              <w:rPr>
                <w:sz w:val="20"/>
                <w:szCs w:val="20"/>
              </w:rPr>
              <w:t>47 381</w:t>
            </w:r>
          </w:p>
        </w:tc>
        <w:tc>
          <w:tcPr>
            <w:tcW w:w="1417" w:type="dxa"/>
            <w:tcBorders>
              <w:bottom w:val="single" w:sz="8" w:space="0" w:color="000000"/>
            </w:tcBorders>
            <w:vAlign w:val="center"/>
          </w:tcPr>
          <w:p w:rsidR="00D4356A" w:rsidRPr="00D4356A" w:rsidRDefault="00D4356A" w:rsidP="00950F4E">
            <w:pPr>
              <w:pStyle w:val="fs-4"/>
              <w:jc w:val="right"/>
              <w:rPr>
                <w:sz w:val="20"/>
                <w:szCs w:val="20"/>
              </w:rPr>
            </w:pPr>
            <w:r w:rsidRPr="00D4356A">
              <w:rPr>
                <w:sz w:val="20"/>
                <w:szCs w:val="20"/>
              </w:rPr>
              <w:t>49 806</w:t>
            </w:r>
          </w:p>
        </w:tc>
      </w:tr>
      <w:tr w:rsidR="00D4356A" w:rsidRPr="00D4356A" w:rsidTr="00950F4E">
        <w:trPr>
          <w:trHeight w:val="20"/>
        </w:trPr>
        <w:tc>
          <w:tcPr>
            <w:tcW w:w="6803" w:type="dxa"/>
            <w:tcBorders>
              <w:top w:val="single" w:sz="8" w:space="0" w:color="000000"/>
              <w:bottom w:val="single" w:sz="4" w:space="0" w:color="auto"/>
            </w:tcBorders>
            <w:shd w:val="clear" w:color="auto" w:fill="auto"/>
            <w:vAlign w:val="center"/>
          </w:tcPr>
          <w:p w:rsidR="00D4356A" w:rsidRPr="00D4356A" w:rsidRDefault="00D4356A" w:rsidP="00950F4E">
            <w:pPr>
              <w:pStyle w:val="fs-4"/>
              <w:rPr>
                <w:b/>
                <w:sz w:val="20"/>
                <w:szCs w:val="20"/>
              </w:rPr>
            </w:pPr>
            <w:r w:rsidRPr="00D4356A">
              <w:rPr>
                <w:b/>
                <w:sz w:val="20"/>
                <w:szCs w:val="20"/>
              </w:rPr>
              <w:t>Всього фінансових зобов’язань</w:t>
            </w:r>
          </w:p>
        </w:tc>
        <w:tc>
          <w:tcPr>
            <w:tcW w:w="1417" w:type="dxa"/>
            <w:tcBorders>
              <w:top w:val="single" w:sz="8" w:space="0" w:color="000000"/>
              <w:bottom w:val="single" w:sz="4" w:space="0" w:color="auto"/>
            </w:tcBorders>
            <w:vAlign w:val="center"/>
          </w:tcPr>
          <w:p w:rsidR="00D4356A" w:rsidRPr="00D4356A" w:rsidRDefault="00D4356A" w:rsidP="00950F4E">
            <w:pPr>
              <w:pStyle w:val="fs-4"/>
              <w:jc w:val="right"/>
              <w:rPr>
                <w:b/>
                <w:sz w:val="20"/>
                <w:szCs w:val="20"/>
              </w:rPr>
            </w:pPr>
            <w:r w:rsidRPr="00D4356A">
              <w:rPr>
                <w:b/>
                <w:bCs/>
                <w:color w:val="000000"/>
                <w:sz w:val="20"/>
                <w:szCs w:val="20"/>
              </w:rPr>
              <w:t>175 198</w:t>
            </w:r>
          </w:p>
        </w:tc>
        <w:tc>
          <w:tcPr>
            <w:tcW w:w="1417" w:type="dxa"/>
            <w:tcBorders>
              <w:top w:val="single" w:sz="8" w:space="0" w:color="000000"/>
              <w:bottom w:val="single" w:sz="4" w:space="0" w:color="auto"/>
            </w:tcBorders>
            <w:vAlign w:val="center"/>
          </w:tcPr>
          <w:p w:rsidR="00D4356A" w:rsidRPr="00D4356A" w:rsidRDefault="00D4356A" w:rsidP="00950F4E">
            <w:pPr>
              <w:pStyle w:val="fs-4"/>
              <w:jc w:val="right"/>
              <w:rPr>
                <w:b/>
                <w:sz w:val="20"/>
                <w:szCs w:val="20"/>
              </w:rPr>
            </w:pPr>
            <w:r w:rsidRPr="00D4356A">
              <w:rPr>
                <w:b/>
                <w:bCs/>
                <w:color w:val="000000"/>
                <w:sz w:val="20"/>
                <w:szCs w:val="20"/>
              </w:rPr>
              <w:t>162 903</w:t>
            </w:r>
          </w:p>
        </w:tc>
      </w:tr>
    </w:tbl>
    <w:p w:rsidR="00D4356A" w:rsidRPr="00D4356A" w:rsidRDefault="00D4356A" w:rsidP="00D4356A">
      <w:pPr>
        <w:pStyle w:val="fs-3"/>
        <w:rPr>
          <w:szCs w:val="20"/>
        </w:rPr>
      </w:pPr>
      <w:r w:rsidRPr="00D4356A">
        <w:rPr>
          <w:szCs w:val="20"/>
        </w:rPr>
        <w:t>Кредитний ризик</w:t>
      </w:r>
    </w:p>
    <w:p w:rsidR="00D4356A" w:rsidRPr="00D4356A" w:rsidRDefault="00D4356A" w:rsidP="00D4356A">
      <w:pPr>
        <w:pStyle w:val="fs-0"/>
        <w:rPr>
          <w:szCs w:val="20"/>
        </w:rPr>
      </w:pPr>
      <w:r w:rsidRPr="00D4356A">
        <w:rPr>
          <w:szCs w:val="20"/>
        </w:rPr>
        <w:t>Фінансові інструменти, які потенційно створюють значний кредитний ризик, у більшості включають дебіторську заборгованість, гроші та їх еквіваленти й депозити.</w:t>
      </w:r>
    </w:p>
    <w:p w:rsidR="00D4356A" w:rsidRPr="00D4356A" w:rsidRDefault="00D4356A" w:rsidP="00D4356A">
      <w:pPr>
        <w:pStyle w:val="fs-0"/>
        <w:rPr>
          <w:szCs w:val="20"/>
        </w:rPr>
      </w:pPr>
      <w:r w:rsidRPr="00D4356A">
        <w:rPr>
          <w:szCs w:val="20"/>
        </w:rPr>
        <w:t>Дебіторська заборгованість представлена за вирахуванням резерву сумнівних боргів.</w:t>
      </w:r>
    </w:p>
    <w:p w:rsidR="00D4356A" w:rsidRPr="00D4356A" w:rsidRDefault="00D4356A" w:rsidP="00D4356A">
      <w:pPr>
        <w:pStyle w:val="fs-0"/>
        <w:rPr>
          <w:szCs w:val="20"/>
        </w:rPr>
      </w:pPr>
      <w:r w:rsidRPr="00D4356A">
        <w:rPr>
          <w:szCs w:val="20"/>
        </w:rPr>
        <w:t>Кредитний ризик Компанії відслідковується й аналізується в кожному конкретному випадку, і керівництво Компанії вважає, що кредитний ризик адекватно відображений у резервах сумнівних боргів.</w:t>
      </w:r>
    </w:p>
    <w:p w:rsidR="00D4356A" w:rsidRPr="00D4356A" w:rsidRDefault="00D4356A" w:rsidP="00D4356A">
      <w:pPr>
        <w:pStyle w:val="fs-0"/>
        <w:rPr>
          <w:szCs w:val="20"/>
        </w:rPr>
      </w:pPr>
      <w:r w:rsidRPr="00D4356A">
        <w:rPr>
          <w:szCs w:val="20"/>
        </w:rPr>
        <w:t>Компанія створює резерв сумнівних боргів в сумі, що представляє собою оцінку керівництвом понесених збитків від дебіторської заборгованості за основною діяльністю та іншою дебіторською заборгованістю.</w:t>
      </w:r>
    </w:p>
    <w:p w:rsidR="00D4356A" w:rsidRPr="00D4356A" w:rsidRDefault="00D4356A" w:rsidP="00D4356A">
      <w:pPr>
        <w:pStyle w:val="fs-0"/>
        <w:rPr>
          <w:szCs w:val="20"/>
        </w:rPr>
      </w:pPr>
      <w:r w:rsidRPr="00D4356A">
        <w:rPr>
          <w:szCs w:val="20"/>
        </w:rPr>
        <w:t>Кредитний ризик Компанії притаманний також таким фінансовим інструментам, як поточні рахунки в банках і може виникати у випадку не спроможності банківської установи розраховуватися за своїми зобов’язаннями перед Компанією. Сума максимального розміру ризику в таких випадках дорівнює балансової вартості відповідних фінансових інструментів.</w:t>
      </w:r>
    </w:p>
    <w:p w:rsidR="00D4356A" w:rsidRPr="00D4356A" w:rsidRDefault="00D4356A" w:rsidP="00D4356A">
      <w:pPr>
        <w:pStyle w:val="fs-0"/>
        <w:rPr>
          <w:szCs w:val="20"/>
        </w:rPr>
      </w:pPr>
      <w:r w:rsidRPr="00D4356A">
        <w:rPr>
          <w:szCs w:val="20"/>
        </w:rPr>
        <w:t>Основним методом оцінки кредитних ризиків керівництвом Компанії є оцінка кредитоспроможності контрагентів, для чого використовуються кредитні рейтинги та будь-яка інша доступна інформація щодо їх спроможності виконувати боргові зобов’язання. Компанія використовує наступні методи управління кредитними ризиками:</w:t>
      </w:r>
    </w:p>
    <w:p w:rsidR="00D4356A" w:rsidRPr="00D4356A" w:rsidRDefault="00D4356A" w:rsidP="00D4356A">
      <w:pPr>
        <w:pStyle w:val="fs-"/>
        <w:numPr>
          <w:ilvl w:val="0"/>
          <w:numId w:val="4"/>
        </w:numPr>
        <w:ind w:left="714" w:hanging="357"/>
        <w:rPr>
          <w:szCs w:val="20"/>
        </w:rPr>
      </w:pPr>
      <w:r w:rsidRPr="00D4356A">
        <w:rPr>
          <w:szCs w:val="20"/>
        </w:rPr>
        <w:t>ліміти щодо боргових зобов’язань за класами фінансових інструментів;</w:t>
      </w:r>
    </w:p>
    <w:p w:rsidR="00D4356A" w:rsidRPr="00D4356A" w:rsidRDefault="00D4356A" w:rsidP="00D4356A">
      <w:pPr>
        <w:pStyle w:val="fs-"/>
        <w:numPr>
          <w:ilvl w:val="0"/>
          <w:numId w:val="4"/>
        </w:numPr>
        <w:ind w:left="714" w:hanging="357"/>
        <w:rPr>
          <w:szCs w:val="20"/>
        </w:rPr>
      </w:pPr>
      <w:r w:rsidRPr="00D4356A">
        <w:rPr>
          <w:szCs w:val="20"/>
        </w:rPr>
        <w:t>ліміти щодо боргових зобов’язань перед одним контрагентом (або асоційованою групою);</w:t>
      </w:r>
    </w:p>
    <w:p w:rsidR="00D4356A" w:rsidRPr="00D4356A" w:rsidRDefault="00D4356A" w:rsidP="00D4356A">
      <w:pPr>
        <w:pStyle w:val="fs-"/>
        <w:numPr>
          <w:ilvl w:val="0"/>
          <w:numId w:val="4"/>
        </w:numPr>
        <w:ind w:left="714" w:hanging="357"/>
        <w:rPr>
          <w:szCs w:val="20"/>
        </w:rPr>
      </w:pPr>
      <w:r w:rsidRPr="00D4356A">
        <w:rPr>
          <w:szCs w:val="20"/>
        </w:rPr>
        <w:t>ліміти щодо вкладень у фінансові інструменти в розрізі кредитних рейтингів за Міжнародною рейтинговою шкалою.</w:t>
      </w:r>
    </w:p>
    <w:p w:rsidR="00D4356A" w:rsidRPr="00D4356A" w:rsidRDefault="00D4356A" w:rsidP="00D4356A">
      <w:pPr>
        <w:pStyle w:val="fs-0"/>
        <w:keepNext/>
        <w:rPr>
          <w:szCs w:val="20"/>
        </w:rPr>
      </w:pPr>
      <w:r w:rsidRPr="00D4356A">
        <w:rPr>
          <w:szCs w:val="20"/>
        </w:rPr>
        <w:t>Далі наведений аналіз коштів на банківських рахунках за кредитною якістю згідно з кредитними рейтингами міжнародних рейтингових агентств:</w:t>
      </w:r>
    </w:p>
    <w:tbl>
      <w:tblPr>
        <w:tblW w:w="4998" w:type="pct"/>
        <w:tblLook w:val="01E0" w:firstRow="1" w:lastRow="1" w:firstColumn="1" w:lastColumn="1" w:noHBand="0" w:noVBand="0"/>
      </w:tblPr>
      <w:tblGrid>
        <w:gridCol w:w="6601"/>
        <w:gridCol w:w="1375"/>
        <w:gridCol w:w="1375"/>
      </w:tblGrid>
      <w:tr w:rsidR="00D4356A" w:rsidRPr="00D4356A" w:rsidTr="00950F4E">
        <w:trPr>
          <w:trHeight w:val="20"/>
        </w:trPr>
        <w:tc>
          <w:tcPr>
            <w:tcW w:w="3530" w:type="pct"/>
            <w:tcBorders>
              <w:bottom w:val="single" w:sz="4" w:space="0" w:color="auto"/>
            </w:tcBorders>
            <w:shd w:val="clear" w:color="auto" w:fill="auto"/>
            <w:vAlign w:val="bottom"/>
          </w:tcPr>
          <w:p w:rsidR="00D4356A" w:rsidRPr="00D4356A" w:rsidRDefault="00D4356A" w:rsidP="00950F4E">
            <w:pPr>
              <w:pStyle w:val="fs-4"/>
              <w:keepNext/>
              <w:jc w:val="left"/>
              <w:rPr>
                <w:b/>
                <w:color w:val="000000" w:themeColor="text1"/>
                <w:sz w:val="20"/>
                <w:szCs w:val="20"/>
              </w:rPr>
            </w:pPr>
          </w:p>
        </w:tc>
        <w:tc>
          <w:tcPr>
            <w:tcW w:w="735" w:type="pct"/>
            <w:tcBorders>
              <w:bottom w:val="single" w:sz="4" w:space="0" w:color="auto"/>
            </w:tcBorders>
            <w:shd w:val="clear" w:color="auto" w:fill="auto"/>
            <w:vAlign w:val="center"/>
          </w:tcPr>
          <w:p w:rsidR="00D4356A" w:rsidRPr="00D4356A" w:rsidRDefault="00D4356A" w:rsidP="00950F4E">
            <w:pPr>
              <w:pStyle w:val="fs-4"/>
              <w:jc w:val="center"/>
              <w:rPr>
                <w:b/>
                <w:color w:val="000000" w:themeColor="text1"/>
                <w:sz w:val="20"/>
                <w:szCs w:val="20"/>
              </w:rPr>
            </w:pPr>
            <w:r w:rsidRPr="00D4356A">
              <w:rPr>
                <w:b/>
                <w:color w:val="000000" w:themeColor="text1"/>
                <w:sz w:val="20"/>
                <w:szCs w:val="20"/>
              </w:rPr>
              <w:t>31.12.2023</w:t>
            </w:r>
          </w:p>
        </w:tc>
        <w:tc>
          <w:tcPr>
            <w:tcW w:w="735" w:type="pct"/>
            <w:tcBorders>
              <w:bottom w:val="single" w:sz="4" w:space="0" w:color="auto"/>
            </w:tcBorders>
            <w:vAlign w:val="center"/>
          </w:tcPr>
          <w:p w:rsidR="00D4356A" w:rsidRPr="00D4356A" w:rsidRDefault="00D4356A" w:rsidP="00950F4E">
            <w:pPr>
              <w:pStyle w:val="fs-4"/>
              <w:jc w:val="center"/>
              <w:rPr>
                <w:b/>
                <w:color w:val="000000" w:themeColor="text1"/>
                <w:sz w:val="20"/>
                <w:szCs w:val="20"/>
              </w:rPr>
            </w:pPr>
            <w:r w:rsidRPr="00D4356A">
              <w:rPr>
                <w:b/>
                <w:color w:val="000000" w:themeColor="text1"/>
                <w:sz w:val="20"/>
                <w:szCs w:val="20"/>
              </w:rPr>
              <w:t>31.12.2022</w:t>
            </w:r>
          </w:p>
        </w:tc>
      </w:tr>
      <w:tr w:rsidR="00D4356A" w:rsidRPr="00D4356A" w:rsidTr="00950F4E">
        <w:trPr>
          <w:trHeight w:val="20"/>
        </w:trPr>
        <w:tc>
          <w:tcPr>
            <w:tcW w:w="3530" w:type="pct"/>
            <w:tcBorders>
              <w:top w:val="single" w:sz="4" w:space="0" w:color="auto"/>
            </w:tcBorders>
            <w:shd w:val="clear" w:color="auto" w:fill="auto"/>
            <w:vAlign w:val="center"/>
          </w:tcPr>
          <w:p w:rsidR="00D4356A" w:rsidRPr="00D4356A" w:rsidRDefault="00D4356A" w:rsidP="00950F4E">
            <w:pPr>
              <w:pStyle w:val="fs-4"/>
              <w:keepNext/>
              <w:rPr>
                <w:color w:val="000000" w:themeColor="text1"/>
                <w:sz w:val="20"/>
                <w:szCs w:val="20"/>
              </w:rPr>
            </w:pPr>
            <w:r w:rsidRPr="00D4356A">
              <w:rPr>
                <w:bCs/>
                <w:color w:val="000000" w:themeColor="text1"/>
                <w:sz w:val="20"/>
                <w:szCs w:val="20"/>
              </w:rPr>
              <w:t>Саа3</w:t>
            </w:r>
          </w:p>
        </w:tc>
        <w:tc>
          <w:tcPr>
            <w:tcW w:w="735" w:type="pct"/>
            <w:tcBorders>
              <w:top w:val="single" w:sz="4" w:space="0" w:color="auto"/>
            </w:tcBorders>
            <w:shd w:val="clear" w:color="auto" w:fill="auto"/>
            <w:vAlign w:val="center"/>
          </w:tcPr>
          <w:p w:rsidR="00D4356A" w:rsidRPr="00D4356A" w:rsidRDefault="00D4356A" w:rsidP="00950F4E">
            <w:pPr>
              <w:spacing w:before="20" w:after="20"/>
              <w:jc w:val="right"/>
              <w:rPr>
                <w:rFonts w:ascii="Arial" w:hAnsi="Arial" w:cs="Arial"/>
                <w:iCs/>
                <w:color w:val="000000" w:themeColor="text1"/>
                <w:sz w:val="20"/>
                <w:szCs w:val="20"/>
              </w:rPr>
            </w:pPr>
            <w:r w:rsidRPr="00D4356A">
              <w:rPr>
                <w:rFonts w:ascii="Arial" w:hAnsi="Arial" w:cs="Arial"/>
                <w:iCs/>
                <w:color w:val="000000" w:themeColor="text1"/>
                <w:sz w:val="20"/>
                <w:szCs w:val="20"/>
              </w:rPr>
              <w:t>359</w:t>
            </w:r>
          </w:p>
        </w:tc>
        <w:tc>
          <w:tcPr>
            <w:tcW w:w="735" w:type="pct"/>
            <w:tcBorders>
              <w:top w:val="single" w:sz="4" w:space="0" w:color="auto"/>
            </w:tcBorders>
            <w:shd w:val="clear" w:color="auto" w:fill="auto"/>
            <w:vAlign w:val="center"/>
          </w:tcPr>
          <w:p w:rsidR="00D4356A" w:rsidRPr="00D4356A" w:rsidRDefault="00D4356A" w:rsidP="00950F4E">
            <w:pPr>
              <w:spacing w:before="20" w:after="20"/>
              <w:jc w:val="right"/>
              <w:rPr>
                <w:rFonts w:ascii="Arial" w:hAnsi="Arial" w:cs="Arial"/>
                <w:iCs/>
                <w:color w:val="000000" w:themeColor="text1"/>
                <w:sz w:val="20"/>
                <w:szCs w:val="20"/>
              </w:rPr>
            </w:pPr>
            <w:r w:rsidRPr="00D4356A">
              <w:rPr>
                <w:rFonts w:ascii="Arial" w:hAnsi="Arial" w:cs="Arial"/>
                <w:iCs/>
                <w:color w:val="000000" w:themeColor="text1"/>
                <w:sz w:val="20"/>
                <w:szCs w:val="20"/>
              </w:rPr>
              <w:t>204</w:t>
            </w:r>
          </w:p>
        </w:tc>
      </w:tr>
      <w:tr w:rsidR="00D4356A" w:rsidRPr="00D4356A" w:rsidTr="00950F4E">
        <w:trPr>
          <w:trHeight w:val="20"/>
        </w:trPr>
        <w:tc>
          <w:tcPr>
            <w:tcW w:w="3530" w:type="pct"/>
            <w:shd w:val="clear" w:color="auto" w:fill="auto"/>
            <w:vAlign w:val="center"/>
          </w:tcPr>
          <w:p w:rsidR="00D4356A" w:rsidRPr="00D4356A" w:rsidRDefault="00D4356A" w:rsidP="00950F4E">
            <w:pPr>
              <w:pStyle w:val="fs-4"/>
              <w:keepNext/>
              <w:rPr>
                <w:bCs/>
                <w:color w:val="000000" w:themeColor="text1"/>
                <w:sz w:val="20"/>
                <w:szCs w:val="20"/>
              </w:rPr>
            </w:pPr>
            <w:r w:rsidRPr="00D4356A">
              <w:rPr>
                <w:bCs/>
                <w:color w:val="000000" w:themeColor="text1"/>
                <w:sz w:val="20"/>
                <w:szCs w:val="20"/>
              </w:rPr>
              <w:t>ССС- (рейтинг банків знизився в зв’язку з війною)</w:t>
            </w:r>
          </w:p>
        </w:tc>
        <w:tc>
          <w:tcPr>
            <w:tcW w:w="735" w:type="pct"/>
            <w:shd w:val="clear" w:color="auto" w:fill="auto"/>
            <w:vAlign w:val="center"/>
          </w:tcPr>
          <w:p w:rsidR="00D4356A" w:rsidRPr="00D4356A" w:rsidRDefault="00D4356A" w:rsidP="00950F4E">
            <w:pPr>
              <w:spacing w:before="20" w:after="20"/>
              <w:jc w:val="right"/>
              <w:rPr>
                <w:rFonts w:ascii="Arial" w:hAnsi="Arial" w:cs="Arial"/>
                <w:iCs/>
                <w:color w:val="000000" w:themeColor="text1"/>
                <w:sz w:val="20"/>
                <w:szCs w:val="20"/>
              </w:rPr>
            </w:pPr>
            <w:r w:rsidRPr="00D4356A">
              <w:rPr>
                <w:rFonts w:ascii="Arial" w:hAnsi="Arial" w:cs="Arial"/>
                <w:iCs/>
                <w:color w:val="000000" w:themeColor="text1"/>
                <w:sz w:val="20"/>
                <w:szCs w:val="20"/>
              </w:rPr>
              <w:t>5 629</w:t>
            </w:r>
          </w:p>
        </w:tc>
        <w:tc>
          <w:tcPr>
            <w:tcW w:w="735" w:type="pct"/>
            <w:shd w:val="clear" w:color="auto" w:fill="auto"/>
            <w:vAlign w:val="center"/>
          </w:tcPr>
          <w:p w:rsidR="00D4356A" w:rsidRPr="00D4356A" w:rsidRDefault="00D4356A" w:rsidP="00950F4E">
            <w:pPr>
              <w:spacing w:before="20" w:after="20"/>
              <w:jc w:val="right"/>
              <w:rPr>
                <w:rFonts w:ascii="Arial" w:hAnsi="Arial" w:cs="Arial"/>
                <w:iCs/>
                <w:color w:val="000000" w:themeColor="text1"/>
                <w:sz w:val="20"/>
                <w:szCs w:val="20"/>
              </w:rPr>
            </w:pPr>
            <w:r w:rsidRPr="00D4356A">
              <w:rPr>
                <w:rFonts w:ascii="Arial" w:hAnsi="Arial" w:cs="Arial"/>
                <w:iCs/>
                <w:color w:val="000000" w:themeColor="text1"/>
                <w:sz w:val="20"/>
                <w:szCs w:val="20"/>
              </w:rPr>
              <w:t>38</w:t>
            </w:r>
          </w:p>
        </w:tc>
      </w:tr>
      <w:tr w:rsidR="00D4356A" w:rsidRPr="00D4356A" w:rsidTr="00950F4E">
        <w:trPr>
          <w:trHeight w:val="20"/>
        </w:trPr>
        <w:tc>
          <w:tcPr>
            <w:tcW w:w="3530" w:type="pct"/>
            <w:tcBorders>
              <w:bottom w:val="single" w:sz="4" w:space="0" w:color="auto"/>
            </w:tcBorders>
            <w:shd w:val="clear" w:color="auto" w:fill="auto"/>
            <w:vAlign w:val="center"/>
          </w:tcPr>
          <w:p w:rsidR="00D4356A" w:rsidRPr="00D4356A" w:rsidRDefault="00D4356A" w:rsidP="00950F4E">
            <w:pPr>
              <w:pStyle w:val="fs-4"/>
              <w:keepNext/>
              <w:rPr>
                <w:rFonts w:eastAsia="Times New Roman"/>
                <w:bCs/>
                <w:color w:val="000000" w:themeColor="text1"/>
                <w:sz w:val="20"/>
                <w:szCs w:val="20"/>
              </w:rPr>
            </w:pPr>
            <w:r w:rsidRPr="00D4356A">
              <w:rPr>
                <w:rFonts w:eastAsia="Times New Roman"/>
                <w:bCs/>
                <w:color w:val="000000" w:themeColor="text1"/>
                <w:sz w:val="20"/>
                <w:szCs w:val="20"/>
              </w:rPr>
              <w:t>Рейтинг не присвоєно</w:t>
            </w:r>
          </w:p>
        </w:tc>
        <w:tc>
          <w:tcPr>
            <w:tcW w:w="735" w:type="pct"/>
            <w:tcBorders>
              <w:bottom w:val="single" w:sz="4" w:space="0" w:color="auto"/>
            </w:tcBorders>
            <w:shd w:val="clear" w:color="auto" w:fill="auto"/>
            <w:vAlign w:val="center"/>
          </w:tcPr>
          <w:p w:rsidR="00D4356A" w:rsidRPr="00D4356A" w:rsidRDefault="00D4356A" w:rsidP="00950F4E">
            <w:pPr>
              <w:pStyle w:val="fs-4"/>
              <w:jc w:val="right"/>
              <w:rPr>
                <w:color w:val="000000" w:themeColor="text1"/>
                <w:sz w:val="20"/>
                <w:szCs w:val="20"/>
              </w:rPr>
            </w:pPr>
            <w:r w:rsidRPr="00D4356A">
              <w:rPr>
                <w:color w:val="000000" w:themeColor="text1"/>
                <w:sz w:val="20"/>
                <w:szCs w:val="20"/>
              </w:rPr>
              <w:t>648</w:t>
            </w:r>
          </w:p>
        </w:tc>
        <w:tc>
          <w:tcPr>
            <w:tcW w:w="735" w:type="pct"/>
            <w:tcBorders>
              <w:bottom w:val="single" w:sz="4" w:space="0" w:color="auto"/>
            </w:tcBorders>
            <w:shd w:val="clear" w:color="auto" w:fill="auto"/>
            <w:vAlign w:val="center"/>
          </w:tcPr>
          <w:p w:rsidR="00D4356A" w:rsidRPr="00D4356A" w:rsidRDefault="00D4356A" w:rsidP="00950F4E">
            <w:pPr>
              <w:pStyle w:val="fs-4"/>
              <w:jc w:val="right"/>
              <w:rPr>
                <w:color w:val="000000" w:themeColor="text1"/>
                <w:sz w:val="20"/>
                <w:szCs w:val="20"/>
              </w:rPr>
            </w:pPr>
            <w:r w:rsidRPr="00D4356A">
              <w:rPr>
                <w:color w:val="000000" w:themeColor="text1"/>
                <w:sz w:val="20"/>
                <w:szCs w:val="20"/>
              </w:rPr>
              <w:t>548</w:t>
            </w:r>
          </w:p>
        </w:tc>
      </w:tr>
      <w:tr w:rsidR="00D4356A" w:rsidRPr="00D4356A" w:rsidTr="00950F4E">
        <w:trPr>
          <w:trHeight w:val="20"/>
        </w:trPr>
        <w:tc>
          <w:tcPr>
            <w:tcW w:w="3530" w:type="pct"/>
            <w:tcBorders>
              <w:top w:val="single" w:sz="4" w:space="0" w:color="auto"/>
              <w:bottom w:val="single" w:sz="4" w:space="0" w:color="auto"/>
            </w:tcBorders>
            <w:shd w:val="clear" w:color="auto" w:fill="auto"/>
            <w:vAlign w:val="center"/>
          </w:tcPr>
          <w:p w:rsidR="00D4356A" w:rsidRPr="00D4356A" w:rsidRDefault="00D4356A" w:rsidP="00950F4E">
            <w:pPr>
              <w:pStyle w:val="fs-4"/>
              <w:rPr>
                <w:rFonts w:eastAsia="Times New Roman"/>
                <w:b/>
                <w:bCs/>
                <w:color w:val="000000" w:themeColor="text1"/>
                <w:sz w:val="20"/>
                <w:szCs w:val="20"/>
              </w:rPr>
            </w:pPr>
            <w:r w:rsidRPr="00D4356A">
              <w:rPr>
                <w:rFonts w:eastAsia="Times New Roman"/>
                <w:b/>
                <w:bCs/>
                <w:color w:val="000000" w:themeColor="text1"/>
                <w:sz w:val="20"/>
                <w:szCs w:val="20"/>
              </w:rPr>
              <w:t>Всього</w:t>
            </w:r>
          </w:p>
        </w:tc>
        <w:tc>
          <w:tcPr>
            <w:tcW w:w="735" w:type="pct"/>
            <w:tcBorders>
              <w:top w:val="single" w:sz="4" w:space="0" w:color="auto"/>
              <w:bottom w:val="single" w:sz="4" w:space="0" w:color="auto"/>
            </w:tcBorders>
            <w:shd w:val="clear" w:color="auto" w:fill="auto"/>
            <w:vAlign w:val="center"/>
          </w:tcPr>
          <w:p w:rsidR="00D4356A" w:rsidRPr="00D4356A" w:rsidRDefault="00D4356A" w:rsidP="00950F4E">
            <w:pPr>
              <w:pStyle w:val="fs-4"/>
              <w:jc w:val="right"/>
              <w:rPr>
                <w:b/>
                <w:color w:val="000000" w:themeColor="text1"/>
                <w:sz w:val="20"/>
                <w:szCs w:val="20"/>
              </w:rPr>
            </w:pPr>
            <w:r w:rsidRPr="00D4356A">
              <w:rPr>
                <w:b/>
                <w:color w:val="000000" w:themeColor="text1"/>
                <w:sz w:val="20"/>
                <w:szCs w:val="20"/>
              </w:rPr>
              <w:t>6 636</w:t>
            </w:r>
          </w:p>
        </w:tc>
        <w:tc>
          <w:tcPr>
            <w:tcW w:w="735" w:type="pct"/>
            <w:tcBorders>
              <w:top w:val="single" w:sz="4" w:space="0" w:color="auto"/>
              <w:bottom w:val="single" w:sz="4" w:space="0" w:color="auto"/>
            </w:tcBorders>
            <w:shd w:val="clear" w:color="auto" w:fill="auto"/>
            <w:vAlign w:val="center"/>
          </w:tcPr>
          <w:p w:rsidR="00D4356A" w:rsidRPr="00D4356A" w:rsidRDefault="00D4356A" w:rsidP="00950F4E">
            <w:pPr>
              <w:pStyle w:val="fs-4"/>
              <w:jc w:val="right"/>
              <w:rPr>
                <w:b/>
                <w:color w:val="000000" w:themeColor="text1"/>
                <w:sz w:val="20"/>
                <w:szCs w:val="20"/>
              </w:rPr>
            </w:pPr>
            <w:r w:rsidRPr="00D4356A">
              <w:rPr>
                <w:b/>
                <w:color w:val="000000" w:themeColor="text1"/>
                <w:sz w:val="20"/>
                <w:szCs w:val="20"/>
              </w:rPr>
              <w:t>789</w:t>
            </w:r>
          </w:p>
        </w:tc>
      </w:tr>
    </w:tbl>
    <w:p w:rsidR="00D4356A" w:rsidRPr="00D4356A" w:rsidRDefault="00D4356A" w:rsidP="00D4356A">
      <w:pPr>
        <w:pStyle w:val="fs-3"/>
        <w:rPr>
          <w:szCs w:val="20"/>
        </w:rPr>
      </w:pPr>
      <w:r w:rsidRPr="00D4356A">
        <w:rPr>
          <w:szCs w:val="20"/>
        </w:rPr>
        <w:t>Ризик концентрації</w:t>
      </w:r>
    </w:p>
    <w:p w:rsidR="00D4356A" w:rsidRPr="00D4356A" w:rsidRDefault="00D4356A" w:rsidP="00D4356A">
      <w:pPr>
        <w:pStyle w:val="xfmc1"/>
        <w:spacing w:before="120" w:beforeAutospacing="0" w:after="120" w:afterAutospacing="0"/>
        <w:jc w:val="both"/>
        <w:rPr>
          <w:rFonts w:ascii="Arial" w:hAnsi="Arial" w:cs="Arial"/>
          <w:sz w:val="20"/>
          <w:szCs w:val="20"/>
        </w:rPr>
      </w:pPr>
      <w:r w:rsidRPr="00D4356A">
        <w:rPr>
          <w:rFonts w:ascii="Arial" w:hAnsi="Arial" w:cs="Arial"/>
          <w:sz w:val="20"/>
          <w:szCs w:val="20"/>
          <w:lang w:val="uk-UA"/>
        </w:rPr>
        <w:t>Для Компанії властивий ризик концентрації. У 2023 та 2022 роках 99% чистих доходів від реалізації продукції, товарів, робіт, послуг було отримано від одного контрагента – пов’язаної сторони.</w:t>
      </w:r>
    </w:p>
    <w:p w:rsidR="00D4356A" w:rsidRPr="00D4356A" w:rsidRDefault="00D4356A" w:rsidP="00D4356A">
      <w:pPr>
        <w:pStyle w:val="fs-3"/>
        <w:rPr>
          <w:szCs w:val="20"/>
        </w:rPr>
      </w:pPr>
      <w:r w:rsidRPr="00D4356A">
        <w:rPr>
          <w:szCs w:val="20"/>
        </w:rPr>
        <w:t>Ризик ліквідності</w:t>
      </w:r>
    </w:p>
    <w:p w:rsidR="00D4356A" w:rsidRPr="00D4356A" w:rsidRDefault="00D4356A" w:rsidP="00D4356A">
      <w:pPr>
        <w:pStyle w:val="fs-0"/>
        <w:rPr>
          <w:szCs w:val="20"/>
        </w:rPr>
      </w:pPr>
      <w:r w:rsidRPr="00D4356A">
        <w:rPr>
          <w:szCs w:val="20"/>
        </w:rPr>
        <w:t>Задачею Компанії є підтримка безперервності та гнучкості фінансування шляхом використання умов кредитування, які надаються постачальниками, а також залучення позик.</w:t>
      </w:r>
    </w:p>
    <w:p w:rsidR="00D4356A" w:rsidRPr="00D4356A" w:rsidRDefault="00D4356A" w:rsidP="00D4356A">
      <w:pPr>
        <w:pStyle w:val="fs-0"/>
        <w:rPr>
          <w:szCs w:val="20"/>
        </w:rPr>
      </w:pPr>
      <w:r w:rsidRPr="00D4356A">
        <w:rPr>
          <w:szCs w:val="20"/>
        </w:rPr>
        <w:t>Компанія аналізує свої активи та зобов'язання за їх строками погашення та планує свою ліквідність залежно від очікуваних строків виконання зобов'язань за відповідними фінансовими інструментами.</w:t>
      </w:r>
    </w:p>
    <w:p w:rsidR="00D4356A" w:rsidRPr="00D4356A" w:rsidRDefault="00D4356A" w:rsidP="00D4356A">
      <w:pPr>
        <w:pStyle w:val="fs-0"/>
        <w:rPr>
          <w:szCs w:val="20"/>
        </w:rPr>
      </w:pPr>
      <w:r w:rsidRPr="00D4356A">
        <w:rPr>
          <w:szCs w:val="20"/>
        </w:rPr>
        <w:t>Обачність при управлінні ризиком ліквідності передбачає наявність достатньої суми грошових коштів, наявність достатніх фінансових ресурсів для виконання зобов'язань при настанні строку їх погашення. Керівництво постійно відстежує рівень ліквідності.</w:t>
      </w:r>
    </w:p>
    <w:p w:rsidR="00D4356A" w:rsidRPr="00D4356A" w:rsidRDefault="00D4356A" w:rsidP="00D4356A">
      <w:pPr>
        <w:pStyle w:val="fs-0"/>
        <w:rPr>
          <w:szCs w:val="20"/>
        </w:rPr>
      </w:pPr>
      <w:r w:rsidRPr="00D4356A">
        <w:rPr>
          <w:szCs w:val="20"/>
        </w:rPr>
        <w:t>Для управління одночасно ризиком ліквідності та кредитним ризиком широко використовується практика передоплати. Компанія використовує процес детального бюджетування та прогнозу грошових коштів для того, щоб гарантувати наявність адекватних ресурсів для виконання своїх платіжних зобов'язань.</w:t>
      </w:r>
    </w:p>
    <w:p w:rsidR="00D4356A" w:rsidRPr="00D4356A" w:rsidRDefault="00D4356A" w:rsidP="00D4356A">
      <w:pPr>
        <w:pStyle w:val="fs-0"/>
        <w:rPr>
          <w:szCs w:val="20"/>
        </w:rPr>
      </w:pPr>
      <w:r w:rsidRPr="00D4356A">
        <w:rPr>
          <w:szCs w:val="20"/>
        </w:rPr>
        <w:t>Більшість витрат Компанії носять змінний характер і залежать від залежать від обсягу реалізації. В результаті цього і виникає більшість витрат, які безпосередньо генерують доходи для погашення зобов'язань під час звичайної господарської діяльності.</w:t>
      </w:r>
    </w:p>
    <w:p w:rsidR="00D4356A" w:rsidRPr="00D4356A" w:rsidRDefault="00D4356A" w:rsidP="00D4356A">
      <w:pPr>
        <w:pStyle w:val="fs-0"/>
        <w:rPr>
          <w:szCs w:val="20"/>
        </w:rPr>
      </w:pPr>
      <w:r w:rsidRPr="00D4356A">
        <w:rPr>
          <w:szCs w:val="20"/>
        </w:rPr>
        <w:t>Нижче в таблицях подано аналіз основних фінансових зобов’язань за строками погашення:</w:t>
      </w:r>
    </w:p>
    <w:tbl>
      <w:tblPr>
        <w:tblW w:w="5000" w:type="pct"/>
        <w:tblLook w:val="01E0" w:firstRow="1" w:lastRow="1" w:firstColumn="1" w:lastColumn="1" w:noHBand="0" w:noVBand="0"/>
      </w:tblPr>
      <w:tblGrid>
        <w:gridCol w:w="4403"/>
        <w:gridCol w:w="1241"/>
        <w:gridCol w:w="1240"/>
        <w:gridCol w:w="1240"/>
        <w:gridCol w:w="1231"/>
      </w:tblGrid>
      <w:tr w:rsidR="00D4356A" w:rsidRPr="00D4356A" w:rsidTr="00950F4E">
        <w:trPr>
          <w:trHeight w:val="20"/>
        </w:trPr>
        <w:tc>
          <w:tcPr>
            <w:tcW w:w="2353" w:type="pct"/>
            <w:tcBorders>
              <w:bottom w:val="single" w:sz="4" w:space="0" w:color="auto"/>
            </w:tcBorders>
            <w:shd w:val="clear" w:color="auto" w:fill="auto"/>
            <w:vAlign w:val="center"/>
          </w:tcPr>
          <w:p w:rsidR="00D4356A" w:rsidRPr="00D4356A" w:rsidRDefault="00D4356A" w:rsidP="00950F4E">
            <w:pPr>
              <w:spacing w:before="20" w:after="20"/>
              <w:jc w:val="both"/>
              <w:rPr>
                <w:rFonts w:ascii="Arial" w:hAnsi="Arial" w:cs="Arial"/>
                <w:b/>
                <w:bCs/>
                <w:iCs/>
                <w:sz w:val="20"/>
                <w:szCs w:val="20"/>
              </w:rPr>
            </w:pPr>
          </w:p>
        </w:tc>
        <w:tc>
          <w:tcPr>
            <w:tcW w:w="663" w:type="pct"/>
            <w:tcBorders>
              <w:bottom w:val="single" w:sz="4" w:space="0" w:color="auto"/>
            </w:tcBorders>
            <w:shd w:val="clear" w:color="auto" w:fill="auto"/>
            <w:vAlign w:val="bottom"/>
          </w:tcPr>
          <w:p w:rsidR="00D4356A" w:rsidRPr="00D4356A" w:rsidRDefault="00D4356A" w:rsidP="00950F4E">
            <w:pPr>
              <w:spacing w:before="20" w:after="20"/>
              <w:jc w:val="center"/>
              <w:rPr>
                <w:rFonts w:ascii="Arial" w:hAnsi="Arial" w:cs="Arial"/>
                <w:b/>
                <w:bCs/>
                <w:iCs/>
                <w:sz w:val="20"/>
                <w:szCs w:val="20"/>
              </w:rPr>
            </w:pPr>
            <w:r w:rsidRPr="00D4356A">
              <w:rPr>
                <w:rFonts w:ascii="Arial" w:hAnsi="Arial" w:cs="Arial"/>
                <w:b/>
                <w:bCs/>
                <w:iCs/>
                <w:sz w:val="20"/>
                <w:szCs w:val="20"/>
              </w:rPr>
              <w:t>до 3 місяців</w:t>
            </w:r>
          </w:p>
        </w:tc>
        <w:tc>
          <w:tcPr>
            <w:tcW w:w="663" w:type="pct"/>
            <w:tcBorders>
              <w:bottom w:val="single" w:sz="4" w:space="0" w:color="auto"/>
            </w:tcBorders>
            <w:vAlign w:val="bottom"/>
          </w:tcPr>
          <w:p w:rsidR="00D4356A" w:rsidRPr="00D4356A" w:rsidRDefault="00D4356A" w:rsidP="00950F4E">
            <w:pPr>
              <w:spacing w:before="20" w:after="20"/>
              <w:jc w:val="center"/>
              <w:rPr>
                <w:rFonts w:ascii="Arial" w:hAnsi="Arial" w:cs="Arial"/>
                <w:b/>
                <w:bCs/>
                <w:iCs/>
                <w:sz w:val="20"/>
                <w:szCs w:val="20"/>
              </w:rPr>
            </w:pPr>
            <w:r w:rsidRPr="00D4356A">
              <w:rPr>
                <w:rFonts w:ascii="Arial" w:hAnsi="Arial" w:cs="Arial"/>
                <w:b/>
                <w:bCs/>
                <w:iCs/>
                <w:sz w:val="20"/>
                <w:szCs w:val="20"/>
              </w:rPr>
              <w:t>від 3 до 12 місяців</w:t>
            </w:r>
          </w:p>
        </w:tc>
        <w:tc>
          <w:tcPr>
            <w:tcW w:w="663" w:type="pct"/>
            <w:tcBorders>
              <w:bottom w:val="single" w:sz="4" w:space="0" w:color="auto"/>
            </w:tcBorders>
            <w:vAlign w:val="bottom"/>
          </w:tcPr>
          <w:p w:rsidR="00D4356A" w:rsidRPr="00D4356A" w:rsidRDefault="00D4356A" w:rsidP="00950F4E">
            <w:pPr>
              <w:spacing w:before="20" w:after="20"/>
              <w:jc w:val="center"/>
              <w:rPr>
                <w:rFonts w:ascii="Arial" w:hAnsi="Arial" w:cs="Arial"/>
                <w:b/>
                <w:bCs/>
                <w:iCs/>
                <w:sz w:val="20"/>
                <w:szCs w:val="20"/>
              </w:rPr>
            </w:pPr>
            <w:r w:rsidRPr="00D4356A">
              <w:rPr>
                <w:rFonts w:ascii="Arial" w:hAnsi="Arial" w:cs="Arial"/>
                <w:b/>
                <w:bCs/>
                <w:iCs/>
                <w:sz w:val="20"/>
                <w:szCs w:val="20"/>
              </w:rPr>
              <w:t>від 12 місяців</w:t>
            </w:r>
          </w:p>
        </w:tc>
        <w:tc>
          <w:tcPr>
            <w:tcW w:w="658" w:type="pct"/>
            <w:tcBorders>
              <w:bottom w:val="single" w:sz="4" w:space="0" w:color="auto"/>
            </w:tcBorders>
            <w:vAlign w:val="bottom"/>
          </w:tcPr>
          <w:p w:rsidR="00D4356A" w:rsidRPr="00D4356A" w:rsidRDefault="00D4356A" w:rsidP="00950F4E">
            <w:pPr>
              <w:spacing w:before="20" w:after="20"/>
              <w:jc w:val="center"/>
              <w:rPr>
                <w:rFonts w:ascii="Arial" w:hAnsi="Arial" w:cs="Arial"/>
                <w:b/>
                <w:bCs/>
                <w:iCs/>
                <w:sz w:val="20"/>
                <w:szCs w:val="20"/>
              </w:rPr>
            </w:pPr>
            <w:r w:rsidRPr="00D4356A">
              <w:rPr>
                <w:rFonts w:ascii="Arial" w:hAnsi="Arial" w:cs="Arial"/>
                <w:b/>
                <w:bCs/>
                <w:iCs/>
                <w:sz w:val="20"/>
                <w:szCs w:val="20"/>
              </w:rPr>
              <w:t>Всього</w:t>
            </w:r>
          </w:p>
        </w:tc>
      </w:tr>
      <w:tr w:rsidR="00D4356A" w:rsidRPr="00D4356A" w:rsidTr="00950F4E">
        <w:trPr>
          <w:trHeight w:val="20"/>
        </w:trPr>
        <w:tc>
          <w:tcPr>
            <w:tcW w:w="2353" w:type="pct"/>
            <w:tcBorders>
              <w:top w:val="single" w:sz="4" w:space="0" w:color="auto"/>
              <w:bottom w:val="single" w:sz="4" w:space="0" w:color="auto"/>
            </w:tcBorders>
            <w:shd w:val="clear" w:color="auto" w:fill="auto"/>
            <w:vAlign w:val="center"/>
          </w:tcPr>
          <w:p w:rsidR="00D4356A" w:rsidRPr="00D4356A" w:rsidRDefault="00D4356A" w:rsidP="00950F4E">
            <w:pPr>
              <w:spacing w:before="20" w:after="20"/>
              <w:jc w:val="both"/>
              <w:rPr>
                <w:rFonts w:ascii="Arial" w:hAnsi="Arial" w:cs="Arial"/>
                <w:b/>
                <w:bCs/>
                <w:sz w:val="20"/>
                <w:szCs w:val="20"/>
              </w:rPr>
            </w:pPr>
            <w:r w:rsidRPr="00D4356A">
              <w:rPr>
                <w:rFonts w:ascii="Arial" w:hAnsi="Arial" w:cs="Arial"/>
                <w:b/>
                <w:bCs/>
                <w:sz w:val="20"/>
                <w:szCs w:val="20"/>
              </w:rPr>
              <w:t>Станом на 31 грудня 2023 року</w:t>
            </w:r>
          </w:p>
        </w:tc>
        <w:tc>
          <w:tcPr>
            <w:tcW w:w="663" w:type="pct"/>
            <w:tcBorders>
              <w:top w:val="single" w:sz="4" w:space="0" w:color="auto"/>
              <w:bottom w:val="single" w:sz="4" w:space="0" w:color="auto"/>
            </w:tcBorders>
            <w:shd w:val="clear" w:color="auto" w:fill="auto"/>
            <w:vAlign w:val="center"/>
          </w:tcPr>
          <w:p w:rsidR="00D4356A" w:rsidRPr="00D4356A" w:rsidRDefault="00D4356A" w:rsidP="00950F4E">
            <w:pPr>
              <w:spacing w:before="20" w:after="20"/>
              <w:jc w:val="right"/>
              <w:rPr>
                <w:rFonts w:ascii="Arial" w:hAnsi="Arial" w:cs="Arial"/>
                <w:b/>
                <w:bCs/>
                <w:sz w:val="20"/>
                <w:szCs w:val="20"/>
              </w:rPr>
            </w:pPr>
            <w:r w:rsidRPr="00D4356A">
              <w:rPr>
                <w:rFonts w:ascii="Arial" w:hAnsi="Arial" w:cs="Arial"/>
                <w:b/>
                <w:bCs/>
                <w:sz w:val="20"/>
                <w:szCs w:val="20"/>
              </w:rPr>
              <w:t>96</w:t>
            </w:r>
            <w:r w:rsidRPr="00D4356A">
              <w:rPr>
                <w:rFonts w:ascii="Arial" w:hAnsi="Arial" w:cs="Arial"/>
                <w:b/>
                <w:bCs/>
                <w:sz w:val="20"/>
                <w:szCs w:val="20"/>
                <w:lang w:val="en-US"/>
              </w:rPr>
              <w:t xml:space="preserve"> </w:t>
            </w:r>
            <w:r w:rsidRPr="00D4356A">
              <w:rPr>
                <w:rFonts w:ascii="Arial" w:hAnsi="Arial" w:cs="Arial"/>
                <w:b/>
                <w:bCs/>
                <w:sz w:val="20"/>
                <w:szCs w:val="20"/>
              </w:rPr>
              <w:t>188</w:t>
            </w:r>
          </w:p>
        </w:tc>
        <w:tc>
          <w:tcPr>
            <w:tcW w:w="663" w:type="pct"/>
            <w:tcBorders>
              <w:top w:val="single" w:sz="4" w:space="0" w:color="auto"/>
              <w:bottom w:val="single" w:sz="4" w:space="0" w:color="auto"/>
            </w:tcBorders>
            <w:vAlign w:val="center"/>
          </w:tcPr>
          <w:p w:rsidR="00D4356A" w:rsidRPr="00D4356A" w:rsidRDefault="00D4356A" w:rsidP="00950F4E">
            <w:pPr>
              <w:spacing w:before="20" w:after="20"/>
              <w:jc w:val="right"/>
              <w:rPr>
                <w:rFonts w:ascii="Arial" w:hAnsi="Arial" w:cs="Arial"/>
                <w:b/>
                <w:sz w:val="20"/>
                <w:szCs w:val="20"/>
              </w:rPr>
            </w:pPr>
            <w:r w:rsidRPr="00D4356A">
              <w:rPr>
                <w:rFonts w:ascii="Arial" w:hAnsi="Arial" w:cs="Arial"/>
                <w:b/>
                <w:bCs/>
                <w:sz w:val="20"/>
                <w:szCs w:val="20"/>
              </w:rPr>
              <w:t>77</w:t>
            </w:r>
            <w:r w:rsidRPr="00D4356A">
              <w:rPr>
                <w:rFonts w:ascii="Arial" w:hAnsi="Arial" w:cs="Arial"/>
                <w:b/>
                <w:bCs/>
                <w:sz w:val="20"/>
                <w:szCs w:val="20"/>
                <w:lang w:val="en-US"/>
              </w:rPr>
              <w:t xml:space="preserve"> </w:t>
            </w:r>
            <w:r w:rsidRPr="00D4356A">
              <w:rPr>
                <w:rFonts w:ascii="Arial" w:hAnsi="Arial" w:cs="Arial"/>
                <w:b/>
                <w:bCs/>
                <w:sz w:val="20"/>
                <w:szCs w:val="20"/>
              </w:rPr>
              <w:t>016</w:t>
            </w:r>
          </w:p>
        </w:tc>
        <w:tc>
          <w:tcPr>
            <w:tcW w:w="663" w:type="pct"/>
            <w:tcBorders>
              <w:top w:val="single" w:sz="4" w:space="0" w:color="auto"/>
              <w:bottom w:val="single" w:sz="4" w:space="0" w:color="auto"/>
            </w:tcBorders>
            <w:vAlign w:val="center"/>
          </w:tcPr>
          <w:p w:rsidR="00D4356A" w:rsidRPr="00D4356A" w:rsidRDefault="00D4356A" w:rsidP="00950F4E">
            <w:pPr>
              <w:spacing w:before="20" w:after="20"/>
              <w:jc w:val="right"/>
              <w:rPr>
                <w:rFonts w:ascii="Arial" w:hAnsi="Arial" w:cs="Arial"/>
                <w:b/>
                <w:sz w:val="20"/>
                <w:szCs w:val="20"/>
              </w:rPr>
            </w:pPr>
            <w:r w:rsidRPr="00D4356A">
              <w:rPr>
                <w:rFonts w:ascii="Arial" w:hAnsi="Arial" w:cs="Arial"/>
                <w:b/>
                <w:bCs/>
                <w:sz w:val="20"/>
                <w:szCs w:val="20"/>
              </w:rPr>
              <w:t>0</w:t>
            </w:r>
          </w:p>
        </w:tc>
        <w:tc>
          <w:tcPr>
            <w:tcW w:w="658" w:type="pct"/>
            <w:tcBorders>
              <w:top w:val="single" w:sz="4" w:space="0" w:color="auto"/>
              <w:bottom w:val="single" w:sz="4" w:space="0" w:color="auto"/>
            </w:tcBorders>
            <w:vAlign w:val="center"/>
          </w:tcPr>
          <w:p w:rsidR="00D4356A" w:rsidRPr="00D4356A" w:rsidRDefault="00D4356A" w:rsidP="00950F4E">
            <w:pPr>
              <w:spacing w:before="20" w:after="20"/>
              <w:jc w:val="right"/>
              <w:rPr>
                <w:rFonts w:ascii="Arial" w:hAnsi="Arial" w:cs="Arial"/>
                <w:b/>
                <w:bCs/>
                <w:sz w:val="20"/>
                <w:szCs w:val="20"/>
              </w:rPr>
            </w:pPr>
            <w:r w:rsidRPr="00D4356A">
              <w:rPr>
                <w:rFonts w:ascii="Arial" w:hAnsi="Arial" w:cs="Arial"/>
                <w:b/>
                <w:bCs/>
                <w:sz w:val="20"/>
                <w:szCs w:val="20"/>
              </w:rPr>
              <w:t>173</w:t>
            </w:r>
            <w:r w:rsidRPr="00D4356A">
              <w:rPr>
                <w:rFonts w:ascii="Arial" w:hAnsi="Arial" w:cs="Arial"/>
                <w:b/>
                <w:bCs/>
                <w:sz w:val="20"/>
                <w:szCs w:val="20"/>
                <w:lang w:val="en-US"/>
              </w:rPr>
              <w:t xml:space="preserve"> </w:t>
            </w:r>
            <w:r w:rsidRPr="00D4356A">
              <w:rPr>
                <w:rFonts w:ascii="Arial" w:hAnsi="Arial" w:cs="Arial"/>
                <w:b/>
                <w:bCs/>
                <w:sz w:val="20"/>
                <w:szCs w:val="20"/>
              </w:rPr>
              <w:t>204</w:t>
            </w:r>
          </w:p>
        </w:tc>
      </w:tr>
      <w:tr w:rsidR="00D4356A" w:rsidRPr="00D4356A" w:rsidTr="00950F4E">
        <w:trPr>
          <w:trHeight w:val="20"/>
        </w:trPr>
        <w:tc>
          <w:tcPr>
            <w:tcW w:w="2353" w:type="pct"/>
            <w:shd w:val="clear" w:color="auto" w:fill="auto"/>
            <w:vAlign w:val="center"/>
          </w:tcPr>
          <w:p w:rsidR="00D4356A" w:rsidRPr="00D4356A" w:rsidRDefault="00D4356A" w:rsidP="00950F4E">
            <w:pPr>
              <w:spacing w:before="20" w:after="20"/>
              <w:rPr>
                <w:rFonts w:ascii="Arial" w:hAnsi="Arial" w:cs="Arial"/>
                <w:sz w:val="20"/>
                <w:szCs w:val="20"/>
              </w:rPr>
            </w:pPr>
            <w:r w:rsidRPr="00D4356A">
              <w:rPr>
                <w:rFonts w:ascii="Arial" w:hAnsi="Arial" w:cs="Arial"/>
                <w:sz w:val="20"/>
                <w:szCs w:val="20"/>
              </w:rPr>
              <w:t>Короткострокові кредити банків</w:t>
            </w:r>
          </w:p>
        </w:tc>
        <w:tc>
          <w:tcPr>
            <w:tcW w:w="663" w:type="pct"/>
            <w:shd w:val="clear" w:color="auto" w:fill="auto"/>
            <w:vAlign w:val="center"/>
          </w:tcPr>
          <w:p w:rsidR="00D4356A" w:rsidRPr="00D4356A" w:rsidRDefault="00D4356A" w:rsidP="00950F4E">
            <w:pPr>
              <w:spacing w:before="20" w:after="20"/>
              <w:jc w:val="right"/>
              <w:rPr>
                <w:rFonts w:ascii="Arial" w:hAnsi="Arial" w:cs="Arial"/>
                <w:bCs/>
                <w:color w:val="auto"/>
                <w:sz w:val="20"/>
                <w:szCs w:val="20"/>
              </w:rPr>
            </w:pPr>
            <w:r w:rsidRPr="00D4356A">
              <w:rPr>
                <w:rFonts w:ascii="Arial" w:hAnsi="Arial" w:cs="Arial"/>
                <w:bCs/>
                <w:color w:val="auto"/>
                <w:sz w:val="20"/>
                <w:szCs w:val="20"/>
              </w:rPr>
              <w:t>-</w:t>
            </w:r>
          </w:p>
        </w:tc>
        <w:tc>
          <w:tcPr>
            <w:tcW w:w="663" w:type="pct"/>
            <w:shd w:val="clear" w:color="auto" w:fill="auto"/>
            <w:vAlign w:val="center"/>
          </w:tcPr>
          <w:p w:rsidR="00D4356A" w:rsidRPr="00D4356A" w:rsidRDefault="00D4356A" w:rsidP="00950F4E">
            <w:pPr>
              <w:spacing w:before="20" w:after="20"/>
              <w:jc w:val="right"/>
              <w:rPr>
                <w:rFonts w:ascii="Arial" w:hAnsi="Arial" w:cs="Arial"/>
                <w:color w:val="auto"/>
                <w:sz w:val="20"/>
                <w:szCs w:val="20"/>
              </w:rPr>
            </w:pPr>
            <w:r w:rsidRPr="00D4356A">
              <w:rPr>
                <w:rFonts w:ascii="Arial" w:hAnsi="Arial" w:cs="Arial"/>
                <w:bCs/>
                <w:color w:val="auto"/>
                <w:sz w:val="20"/>
                <w:szCs w:val="20"/>
              </w:rPr>
              <w:t>77 016</w:t>
            </w:r>
          </w:p>
        </w:tc>
        <w:tc>
          <w:tcPr>
            <w:tcW w:w="663" w:type="pct"/>
            <w:shd w:val="clear" w:color="auto" w:fill="auto"/>
            <w:vAlign w:val="center"/>
          </w:tcPr>
          <w:p w:rsidR="00D4356A" w:rsidRPr="00D4356A" w:rsidRDefault="00D4356A" w:rsidP="00950F4E">
            <w:pPr>
              <w:spacing w:before="20" w:after="20"/>
              <w:jc w:val="right"/>
              <w:rPr>
                <w:rFonts w:ascii="Arial" w:hAnsi="Arial" w:cs="Arial"/>
                <w:color w:val="auto"/>
                <w:sz w:val="20"/>
                <w:szCs w:val="20"/>
                <w:lang w:val="en-US"/>
              </w:rPr>
            </w:pPr>
            <w:r w:rsidRPr="00D4356A">
              <w:rPr>
                <w:rFonts w:ascii="Arial" w:hAnsi="Arial" w:cs="Arial"/>
                <w:color w:val="auto"/>
                <w:sz w:val="20"/>
                <w:szCs w:val="20"/>
                <w:lang w:val="en-US"/>
              </w:rPr>
              <w:t>-</w:t>
            </w:r>
          </w:p>
        </w:tc>
        <w:tc>
          <w:tcPr>
            <w:tcW w:w="658" w:type="pct"/>
            <w:shd w:val="clear" w:color="auto" w:fill="auto"/>
            <w:vAlign w:val="center"/>
          </w:tcPr>
          <w:p w:rsidR="00D4356A" w:rsidRPr="00D4356A" w:rsidRDefault="00D4356A" w:rsidP="00950F4E">
            <w:pPr>
              <w:spacing w:before="20" w:after="20"/>
              <w:jc w:val="right"/>
              <w:rPr>
                <w:rFonts w:ascii="Arial" w:hAnsi="Arial" w:cs="Arial"/>
                <w:bCs/>
                <w:color w:val="000000" w:themeColor="text1"/>
                <w:sz w:val="20"/>
                <w:szCs w:val="20"/>
              </w:rPr>
            </w:pPr>
            <w:r w:rsidRPr="00D4356A">
              <w:rPr>
                <w:rFonts w:ascii="Arial" w:hAnsi="Arial" w:cs="Arial"/>
                <w:bCs/>
                <w:color w:val="000000" w:themeColor="text1"/>
                <w:sz w:val="20"/>
                <w:szCs w:val="20"/>
              </w:rPr>
              <w:t>77 016</w:t>
            </w:r>
          </w:p>
        </w:tc>
      </w:tr>
      <w:tr w:rsidR="00D4356A" w:rsidRPr="00D4356A" w:rsidTr="00950F4E">
        <w:trPr>
          <w:trHeight w:val="20"/>
        </w:trPr>
        <w:tc>
          <w:tcPr>
            <w:tcW w:w="2353" w:type="pct"/>
            <w:shd w:val="clear" w:color="auto" w:fill="auto"/>
            <w:vAlign w:val="center"/>
          </w:tcPr>
          <w:p w:rsidR="00D4356A" w:rsidRPr="00D4356A" w:rsidRDefault="00D4356A" w:rsidP="00950F4E">
            <w:pPr>
              <w:spacing w:before="20" w:after="20"/>
              <w:rPr>
                <w:rFonts w:ascii="Arial" w:hAnsi="Arial" w:cs="Arial"/>
                <w:sz w:val="20"/>
                <w:szCs w:val="20"/>
              </w:rPr>
            </w:pPr>
            <w:r w:rsidRPr="00D4356A">
              <w:rPr>
                <w:rFonts w:ascii="Arial" w:hAnsi="Arial" w:cs="Arial"/>
                <w:sz w:val="20"/>
                <w:szCs w:val="20"/>
              </w:rPr>
              <w:t>Поточна кредиторська заборгованість за товари, роботи, послуги</w:t>
            </w:r>
          </w:p>
        </w:tc>
        <w:tc>
          <w:tcPr>
            <w:tcW w:w="663" w:type="pct"/>
            <w:shd w:val="clear" w:color="auto" w:fill="auto"/>
            <w:vAlign w:val="center"/>
          </w:tcPr>
          <w:p w:rsidR="00D4356A" w:rsidRPr="00D4356A" w:rsidRDefault="00D4356A" w:rsidP="00950F4E">
            <w:pPr>
              <w:spacing w:before="20" w:after="20"/>
              <w:jc w:val="right"/>
              <w:rPr>
                <w:rFonts w:ascii="Arial" w:hAnsi="Arial" w:cs="Arial"/>
                <w:bCs/>
                <w:color w:val="auto"/>
                <w:sz w:val="20"/>
                <w:szCs w:val="20"/>
              </w:rPr>
            </w:pPr>
            <w:r w:rsidRPr="00D4356A">
              <w:rPr>
                <w:rFonts w:ascii="Arial" w:hAnsi="Arial" w:cs="Arial"/>
                <w:bCs/>
                <w:color w:val="auto"/>
                <w:sz w:val="20"/>
                <w:szCs w:val="20"/>
              </w:rPr>
              <w:t>48 807</w:t>
            </w:r>
          </w:p>
        </w:tc>
        <w:tc>
          <w:tcPr>
            <w:tcW w:w="663" w:type="pct"/>
            <w:shd w:val="clear" w:color="auto" w:fill="auto"/>
            <w:vAlign w:val="center"/>
          </w:tcPr>
          <w:p w:rsidR="00D4356A" w:rsidRPr="00D4356A" w:rsidRDefault="00D4356A" w:rsidP="00950F4E">
            <w:pPr>
              <w:spacing w:before="20" w:after="20"/>
              <w:jc w:val="right"/>
              <w:rPr>
                <w:rFonts w:ascii="Arial" w:hAnsi="Arial" w:cs="Arial"/>
                <w:color w:val="auto"/>
                <w:sz w:val="20"/>
                <w:szCs w:val="20"/>
                <w:lang w:val="en-US"/>
              </w:rPr>
            </w:pPr>
            <w:r w:rsidRPr="00D4356A">
              <w:rPr>
                <w:rFonts w:ascii="Arial" w:hAnsi="Arial" w:cs="Arial"/>
                <w:color w:val="auto"/>
                <w:sz w:val="20"/>
                <w:szCs w:val="20"/>
                <w:lang w:val="en-US"/>
              </w:rPr>
              <w:t>-</w:t>
            </w:r>
          </w:p>
        </w:tc>
        <w:tc>
          <w:tcPr>
            <w:tcW w:w="663" w:type="pct"/>
            <w:shd w:val="clear" w:color="auto" w:fill="auto"/>
            <w:vAlign w:val="center"/>
          </w:tcPr>
          <w:p w:rsidR="00D4356A" w:rsidRPr="00D4356A" w:rsidRDefault="00D4356A" w:rsidP="00950F4E">
            <w:pPr>
              <w:spacing w:before="20" w:after="20"/>
              <w:jc w:val="right"/>
              <w:rPr>
                <w:rFonts w:ascii="Arial" w:hAnsi="Arial" w:cs="Arial"/>
                <w:color w:val="auto"/>
                <w:sz w:val="20"/>
                <w:szCs w:val="20"/>
                <w:lang w:val="en-US"/>
              </w:rPr>
            </w:pPr>
            <w:r w:rsidRPr="00D4356A">
              <w:rPr>
                <w:rFonts w:ascii="Arial" w:hAnsi="Arial" w:cs="Arial"/>
                <w:color w:val="auto"/>
                <w:sz w:val="20"/>
                <w:szCs w:val="20"/>
                <w:lang w:val="en-US"/>
              </w:rPr>
              <w:t>-</w:t>
            </w:r>
          </w:p>
        </w:tc>
        <w:tc>
          <w:tcPr>
            <w:tcW w:w="658" w:type="pct"/>
            <w:shd w:val="clear" w:color="auto" w:fill="auto"/>
            <w:vAlign w:val="center"/>
          </w:tcPr>
          <w:p w:rsidR="00D4356A" w:rsidRPr="00D4356A" w:rsidRDefault="00D4356A" w:rsidP="00950F4E">
            <w:pPr>
              <w:spacing w:before="20" w:after="20"/>
              <w:jc w:val="right"/>
              <w:rPr>
                <w:rFonts w:ascii="Arial" w:hAnsi="Arial" w:cs="Arial"/>
                <w:bCs/>
                <w:color w:val="000000" w:themeColor="text1"/>
                <w:sz w:val="20"/>
                <w:szCs w:val="20"/>
                <w:lang w:val="en-US"/>
              </w:rPr>
            </w:pPr>
            <w:r w:rsidRPr="00D4356A">
              <w:rPr>
                <w:rFonts w:ascii="Arial" w:hAnsi="Arial" w:cs="Arial"/>
                <w:bCs/>
                <w:color w:val="000000" w:themeColor="text1"/>
                <w:sz w:val="20"/>
                <w:szCs w:val="20"/>
                <w:lang w:val="en-US"/>
              </w:rPr>
              <w:t>48 807</w:t>
            </w:r>
          </w:p>
        </w:tc>
      </w:tr>
      <w:tr w:rsidR="00D4356A" w:rsidRPr="00D4356A" w:rsidTr="00950F4E">
        <w:trPr>
          <w:trHeight w:val="20"/>
        </w:trPr>
        <w:tc>
          <w:tcPr>
            <w:tcW w:w="2353" w:type="pct"/>
            <w:shd w:val="clear" w:color="auto" w:fill="auto"/>
            <w:vAlign w:val="center"/>
          </w:tcPr>
          <w:p w:rsidR="00D4356A" w:rsidRPr="00D4356A" w:rsidRDefault="00D4356A" w:rsidP="00950F4E">
            <w:pPr>
              <w:spacing w:before="20" w:after="20"/>
              <w:rPr>
                <w:rFonts w:ascii="Arial" w:hAnsi="Arial" w:cs="Arial"/>
                <w:sz w:val="20"/>
                <w:szCs w:val="20"/>
              </w:rPr>
            </w:pPr>
            <w:r w:rsidRPr="00D4356A">
              <w:rPr>
                <w:rFonts w:ascii="Arial" w:hAnsi="Arial" w:cs="Arial"/>
                <w:sz w:val="20"/>
                <w:szCs w:val="20"/>
              </w:rPr>
              <w:t>Інші поточні зобов'язання</w:t>
            </w:r>
          </w:p>
        </w:tc>
        <w:tc>
          <w:tcPr>
            <w:tcW w:w="663" w:type="pct"/>
            <w:shd w:val="clear" w:color="auto" w:fill="auto"/>
            <w:vAlign w:val="center"/>
          </w:tcPr>
          <w:p w:rsidR="00D4356A" w:rsidRPr="00D4356A" w:rsidRDefault="00D4356A" w:rsidP="00950F4E">
            <w:pPr>
              <w:spacing w:before="20" w:after="20"/>
              <w:jc w:val="right"/>
              <w:rPr>
                <w:rFonts w:ascii="Arial" w:hAnsi="Arial" w:cs="Arial"/>
                <w:bCs/>
                <w:color w:val="auto"/>
                <w:sz w:val="20"/>
                <w:szCs w:val="20"/>
              </w:rPr>
            </w:pPr>
            <w:r w:rsidRPr="00D4356A">
              <w:rPr>
                <w:rFonts w:ascii="Arial" w:hAnsi="Arial" w:cs="Arial"/>
                <w:bCs/>
                <w:color w:val="auto"/>
                <w:sz w:val="20"/>
                <w:szCs w:val="20"/>
              </w:rPr>
              <w:t>47</w:t>
            </w:r>
            <w:r w:rsidRPr="00D4356A">
              <w:rPr>
                <w:rFonts w:ascii="Arial" w:hAnsi="Arial" w:cs="Arial"/>
                <w:bCs/>
                <w:color w:val="auto"/>
                <w:sz w:val="20"/>
                <w:szCs w:val="20"/>
                <w:lang w:val="en-US"/>
              </w:rPr>
              <w:t> </w:t>
            </w:r>
            <w:r w:rsidRPr="00D4356A">
              <w:rPr>
                <w:rFonts w:ascii="Arial" w:hAnsi="Arial" w:cs="Arial"/>
                <w:bCs/>
                <w:color w:val="auto"/>
                <w:sz w:val="20"/>
                <w:szCs w:val="20"/>
              </w:rPr>
              <w:t>381</w:t>
            </w:r>
          </w:p>
        </w:tc>
        <w:tc>
          <w:tcPr>
            <w:tcW w:w="663" w:type="pct"/>
            <w:shd w:val="clear" w:color="auto" w:fill="auto"/>
            <w:vAlign w:val="center"/>
          </w:tcPr>
          <w:p w:rsidR="00D4356A" w:rsidRPr="00D4356A" w:rsidRDefault="00D4356A" w:rsidP="00950F4E">
            <w:pPr>
              <w:spacing w:before="20" w:after="20"/>
              <w:jc w:val="right"/>
              <w:rPr>
                <w:rFonts w:ascii="Arial" w:hAnsi="Arial" w:cs="Arial"/>
                <w:color w:val="auto"/>
                <w:sz w:val="20"/>
                <w:szCs w:val="20"/>
                <w:lang w:val="en-US"/>
              </w:rPr>
            </w:pPr>
            <w:r w:rsidRPr="00D4356A">
              <w:rPr>
                <w:rFonts w:ascii="Arial" w:hAnsi="Arial" w:cs="Arial"/>
                <w:color w:val="auto"/>
                <w:sz w:val="20"/>
                <w:szCs w:val="20"/>
                <w:lang w:val="en-US"/>
              </w:rPr>
              <w:t>-</w:t>
            </w:r>
          </w:p>
        </w:tc>
        <w:tc>
          <w:tcPr>
            <w:tcW w:w="663" w:type="pct"/>
            <w:shd w:val="clear" w:color="auto" w:fill="auto"/>
            <w:vAlign w:val="center"/>
          </w:tcPr>
          <w:p w:rsidR="00D4356A" w:rsidRPr="00D4356A" w:rsidRDefault="00D4356A" w:rsidP="00950F4E">
            <w:pPr>
              <w:spacing w:before="20" w:after="20"/>
              <w:jc w:val="right"/>
              <w:rPr>
                <w:rFonts w:ascii="Arial" w:hAnsi="Arial" w:cs="Arial"/>
                <w:color w:val="auto"/>
                <w:sz w:val="20"/>
                <w:szCs w:val="20"/>
                <w:lang w:val="en-US"/>
              </w:rPr>
            </w:pPr>
            <w:r w:rsidRPr="00D4356A">
              <w:rPr>
                <w:rFonts w:ascii="Arial" w:hAnsi="Arial" w:cs="Arial"/>
                <w:color w:val="auto"/>
                <w:sz w:val="20"/>
                <w:szCs w:val="20"/>
                <w:lang w:val="en-US"/>
              </w:rPr>
              <w:t>-</w:t>
            </w:r>
          </w:p>
        </w:tc>
        <w:tc>
          <w:tcPr>
            <w:tcW w:w="658" w:type="pct"/>
            <w:shd w:val="clear" w:color="auto" w:fill="auto"/>
            <w:vAlign w:val="center"/>
          </w:tcPr>
          <w:p w:rsidR="00D4356A" w:rsidRPr="00D4356A" w:rsidRDefault="00D4356A" w:rsidP="00950F4E">
            <w:pPr>
              <w:spacing w:before="20" w:after="20"/>
              <w:jc w:val="right"/>
              <w:rPr>
                <w:rFonts w:ascii="Arial" w:hAnsi="Arial" w:cs="Arial"/>
                <w:bCs/>
                <w:sz w:val="20"/>
                <w:szCs w:val="20"/>
                <w:lang w:val="en-US"/>
              </w:rPr>
            </w:pPr>
            <w:r w:rsidRPr="00D4356A">
              <w:rPr>
                <w:rFonts w:ascii="Arial" w:hAnsi="Arial" w:cs="Arial"/>
                <w:bCs/>
                <w:sz w:val="20"/>
                <w:szCs w:val="20"/>
                <w:lang w:val="en-US"/>
              </w:rPr>
              <w:t>47 381</w:t>
            </w:r>
          </w:p>
        </w:tc>
      </w:tr>
      <w:tr w:rsidR="00D4356A" w:rsidRPr="00D4356A" w:rsidTr="00950F4E">
        <w:trPr>
          <w:trHeight w:val="20"/>
        </w:trPr>
        <w:tc>
          <w:tcPr>
            <w:tcW w:w="2353" w:type="pct"/>
            <w:tcBorders>
              <w:top w:val="single" w:sz="4" w:space="0" w:color="auto"/>
              <w:bottom w:val="single" w:sz="4" w:space="0" w:color="auto"/>
            </w:tcBorders>
            <w:shd w:val="clear" w:color="auto" w:fill="auto"/>
            <w:vAlign w:val="center"/>
          </w:tcPr>
          <w:p w:rsidR="00D4356A" w:rsidRPr="00D4356A" w:rsidRDefault="00D4356A" w:rsidP="00950F4E">
            <w:pPr>
              <w:spacing w:before="20" w:after="20"/>
              <w:jc w:val="both"/>
              <w:rPr>
                <w:rFonts w:ascii="Arial" w:hAnsi="Arial" w:cs="Arial"/>
                <w:b/>
                <w:bCs/>
                <w:sz w:val="20"/>
                <w:szCs w:val="20"/>
              </w:rPr>
            </w:pPr>
            <w:r w:rsidRPr="00D4356A">
              <w:rPr>
                <w:rFonts w:ascii="Arial" w:hAnsi="Arial" w:cs="Arial"/>
                <w:b/>
                <w:bCs/>
                <w:sz w:val="20"/>
                <w:szCs w:val="20"/>
              </w:rPr>
              <w:t>Станом на 31 грудня 2022 року</w:t>
            </w:r>
          </w:p>
        </w:tc>
        <w:tc>
          <w:tcPr>
            <w:tcW w:w="663" w:type="pct"/>
            <w:tcBorders>
              <w:top w:val="single" w:sz="4" w:space="0" w:color="auto"/>
              <w:bottom w:val="single" w:sz="4" w:space="0" w:color="auto"/>
            </w:tcBorders>
            <w:shd w:val="clear" w:color="auto" w:fill="auto"/>
            <w:vAlign w:val="center"/>
          </w:tcPr>
          <w:p w:rsidR="00D4356A" w:rsidRPr="00D4356A" w:rsidRDefault="00D4356A" w:rsidP="00950F4E">
            <w:pPr>
              <w:spacing w:before="20" w:after="20"/>
              <w:jc w:val="right"/>
              <w:rPr>
                <w:rFonts w:ascii="Arial" w:hAnsi="Arial" w:cs="Arial"/>
                <w:b/>
                <w:bCs/>
                <w:color w:val="auto"/>
                <w:sz w:val="20"/>
                <w:szCs w:val="20"/>
              </w:rPr>
            </w:pPr>
            <w:r w:rsidRPr="00D4356A">
              <w:rPr>
                <w:rFonts w:ascii="Arial" w:hAnsi="Arial" w:cs="Arial"/>
                <w:b/>
                <w:bCs/>
                <w:color w:val="auto"/>
                <w:sz w:val="20"/>
                <w:szCs w:val="20"/>
              </w:rPr>
              <w:t>71</w:t>
            </w:r>
            <w:r w:rsidRPr="00D4356A">
              <w:rPr>
                <w:rFonts w:ascii="Arial" w:hAnsi="Arial" w:cs="Arial"/>
                <w:b/>
                <w:bCs/>
                <w:color w:val="auto"/>
                <w:sz w:val="20"/>
                <w:szCs w:val="20"/>
                <w:lang w:val="en-US"/>
              </w:rPr>
              <w:t xml:space="preserve"> </w:t>
            </w:r>
            <w:r w:rsidRPr="00D4356A">
              <w:rPr>
                <w:rFonts w:ascii="Arial" w:hAnsi="Arial" w:cs="Arial"/>
                <w:b/>
                <w:bCs/>
                <w:color w:val="auto"/>
                <w:sz w:val="20"/>
                <w:szCs w:val="20"/>
              </w:rPr>
              <w:t>793</w:t>
            </w:r>
          </w:p>
        </w:tc>
        <w:tc>
          <w:tcPr>
            <w:tcW w:w="663" w:type="pct"/>
            <w:tcBorders>
              <w:top w:val="single" w:sz="4" w:space="0" w:color="auto"/>
              <w:bottom w:val="single" w:sz="4" w:space="0" w:color="auto"/>
            </w:tcBorders>
            <w:shd w:val="clear" w:color="auto" w:fill="auto"/>
            <w:vAlign w:val="center"/>
          </w:tcPr>
          <w:p w:rsidR="00D4356A" w:rsidRPr="00D4356A" w:rsidRDefault="00D4356A" w:rsidP="00950F4E">
            <w:pPr>
              <w:spacing w:before="20" w:after="20"/>
              <w:jc w:val="right"/>
              <w:rPr>
                <w:rFonts w:ascii="Arial" w:hAnsi="Arial" w:cs="Arial"/>
                <w:b/>
                <w:color w:val="auto"/>
                <w:sz w:val="20"/>
                <w:szCs w:val="20"/>
              </w:rPr>
            </w:pPr>
            <w:r w:rsidRPr="00D4356A">
              <w:rPr>
                <w:rFonts w:ascii="Arial" w:hAnsi="Arial" w:cs="Arial"/>
                <w:b/>
                <w:bCs/>
                <w:color w:val="auto"/>
                <w:sz w:val="20"/>
                <w:szCs w:val="20"/>
              </w:rPr>
              <w:t>90</w:t>
            </w:r>
            <w:r w:rsidRPr="00D4356A">
              <w:rPr>
                <w:rFonts w:ascii="Arial" w:hAnsi="Arial" w:cs="Arial"/>
                <w:b/>
                <w:bCs/>
                <w:color w:val="auto"/>
                <w:sz w:val="20"/>
                <w:szCs w:val="20"/>
                <w:lang w:val="en-US"/>
              </w:rPr>
              <w:t xml:space="preserve"> </w:t>
            </w:r>
            <w:r w:rsidRPr="00D4356A">
              <w:rPr>
                <w:rFonts w:ascii="Arial" w:hAnsi="Arial" w:cs="Arial"/>
                <w:b/>
                <w:bCs/>
                <w:color w:val="auto"/>
                <w:sz w:val="20"/>
                <w:szCs w:val="20"/>
              </w:rPr>
              <w:t>455</w:t>
            </w:r>
          </w:p>
        </w:tc>
        <w:tc>
          <w:tcPr>
            <w:tcW w:w="663" w:type="pct"/>
            <w:tcBorders>
              <w:top w:val="single" w:sz="4" w:space="0" w:color="auto"/>
              <w:bottom w:val="single" w:sz="4" w:space="0" w:color="auto"/>
            </w:tcBorders>
            <w:shd w:val="clear" w:color="auto" w:fill="auto"/>
            <w:vAlign w:val="center"/>
          </w:tcPr>
          <w:p w:rsidR="00D4356A" w:rsidRPr="00D4356A" w:rsidRDefault="00D4356A" w:rsidP="00950F4E">
            <w:pPr>
              <w:spacing w:before="20" w:after="20"/>
              <w:jc w:val="right"/>
              <w:rPr>
                <w:rFonts w:ascii="Arial" w:hAnsi="Arial" w:cs="Arial"/>
                <w:b/>
                <w:color w:val="auto"/>
                <w:sz w:val="20"/>
                <w:szCs w:val="20"/>
              </w:rPr>
            </w:pPr>
            <w:r w:rsidRPr="00D4356A">
              <w:rPr>
                <w:rFonts w:ascii="Arial" w:hAnsi="Arial" w:cs="Arial"/>
                <w:b/>
                <w:bCs/>
                <w:color w:val="auto"/>
                <w:sz w:val="20"/>
                <w:szCs w:val="20"/>
              </w:rPr>
              <w:t>0</w:t>
            </w:r>
          </w:p>
        </w:tc>
        <w:tc>
          <w:tcPr>
            <w:tcW w:w="658" w:type="pct"/>
            <w:tcBorders>
              <w:top w:val="single" w:sz="4" w:space="0" w:color="auto"/>
              <w:bottom w:val="single" w:sz="4" w:space="0" w:color="auto"/>
            </w:tcBorders>
            <w:shd w:val="clear" w:color="auto" w:fill="auto"/>
            <w:vAlign w:val="center"/>
          </w:tcPr>
          <w:p w:rsidR="00D4356A" w:rsidRPr="00D4356A" w:rsidRDefault="00D4356A" w:rsidP="00950F4E">
            <w:pPr>
              <w:spacing w:before="20" w:after="20"/>
              <w:jc w:val="right"/>
              <w:rPr>
                <w:rFonts w:ascii="Arial" w:hAnsi="Arial" w:cs="Arial"/>
                <w:b/>
                <w:bCs/>
                <w:sz w:val="20"/>
                <w:szCs w:val="20"/>
              </w:rPr>
            </w:pPr>
            <w:r w:rsidRPr="00D4356A">
              <w:rPr>
                <w:rFonts w:ascii="Arial" w:hAnsi="Arial" w:cs="Arial"/>
                <w:b/>
                <w:bCs/>
                <w:sz w:val="20"/>
                <w:szCs w:val="20"/>
              </w:rPr>
              <w:t>162</w:t>
            </w:r>
            <w:r w:rsidRPr="00D4356A">
              <w:rPr>
                <w:rFonts w:ascii="Arial" w:hAnsi="Arial" w:cs="Arial"/>
                <w:b/>
                <w:bCs/>
                <w:sz w:val="20"/>
                <w:szCs w:val="20"/>
                <w:lang w:val="en-US"/>
              </w:rPr>
              <w:t xml:space="preserve"> </w:t>
            </w:r>
            <w:r w:rsidRPr="00D4356A">
              <w:rPr>
                <w:rFonts w:ascii="Arial" w:hAnsi="Arial" w:cs="Arial"/>
                <w:b/>
                <w:bCs/>
                <w:sz w:val="20"/>
                <w:szCs w:val="20"/>
              </w:rPr>
              <w:t>248</w:t>
            </w:r>
          </w:p>
        </w:tc>
      </w:tr>
      <w:tr w:rsidR="00D4356A" w:rsidRPr="00D4356A" w:rsidTr="00950F4E">
        <w:trPr>
          <w:trHeight w:val="20"/>
        </w:trPr>
        <w:tc>
          <w:tcPr>
            <w:tcW w:w="2353" w:type="pct"/>
            <w:shd w:val="clear" w:color="auto" w:fill="auto"/>
            <w:vAlign w:val="center"/>
          </w:tcPr>
          <w:p w:rsidR="00D4356A" w:rsidRPr="00D4356A" w:rsidRDefault="00D4356A" w:rsidP="00950F4E">
            <w:pPr>
              <w:spacing w:before="20" w:after="20"/>
              <w:rPr>
                <w:rFonts w:ascii="Arial" w:hAnsi="Arial" w:cs="Arial"/>
                <w:sz w:val="20"/>
                <w:szCs w:val="20"/>
              </w:rPr>
            </w:pPr>
            <w:r w:rsidRPr="00D4356A">
              <w:rPr>
                <w:rFonts w:ascii="Arial" w:hAnsi="Arial" w:cs="Arial"/>
                <w:sz w:val="20"/>
                <w:szCs w:val="20"/>
              </w:rPr>
              <w:t>Короткострокові кредити банків</w:t>
            </w:r>
          </w:p>
        </w:tc>
        <w:tc>
          <w:tcPr>
            <w:tcW w:w="663" w:type="pct"/>
            <w:shd w:val="clear" w:color="auto" w:fill="auto"/>
            <w:vAlign w:val="center"/>
          </w:tcPr>
          <w:p w:rsidR="00D4356A" w:rsidRPr="00D4356A" w:rsidRDefault="00D4356A" w:rsidP="00950F4E">
            <w:pPr>
              <w:spacing w:before="20" w:after="20"/>
              <w:jc w:val="right"/>
              <w:rPr>
                <w:rFonts w:ascii="Arial" w:hAnsi="Arial" w:cs="Arial"/>
                <w:bCs/>
                <w:color w:val="auto"/>
                <w:sz w:val="20"/>
                <w:szCs w:val="20"/>
                <w:lang w:val="en-US"/>
              </w:rPr>
            </w:pPr>
            <w:r w:rsidRPr="00D4356A">
              <w:rPr>
                <w:rFonts w:ascii="Arial" w:hAnsi="Arial" w:cs="Arial"/>
                <w:bCs/>
                <w:color w:val="auto"/>
                <w:sz w:val="20"/>
                <w:szCs w:val="20"/>
                <w:lang w:val="en-US"/>
              </w:rPr>
              <w:t>-</w:t>
            </w:r>
          </w:p>
        </w:tc>
        <w:tc>
          <w:tcPr>
            <w:tcW w:w="663" w:type="pct"/>
            <w:vAlign w:val="center"/>
          </w:tcPr>
          <w:p w:rsidR="00D4356A" w:rsidRPr="00D4356A" w:rsidRDefault="00D4356A" w:rsidP="00950F4E">
            <w:pPr>
              <w:spacing w:before="20" w:after="20"/>
              <w:jc w:val="right"/>
              <w:rPr>
                <w:rFonts w:ascii="Arial" w:hAnsi="Arial" w:cs="Arial"/>
                <w:color w:val="auto"/>
                <w:sz w:val="20"/>
                <w:szCs w:val="20"/>
                <w:lang w:val="en-US"/>
              </w:rPr>
            </w:pPr>
            <w:r w:rsidRPr="00D4356A">
              <w:rPr>
                <w:rFonts w:ascii="Arial" w:hAnsi="Arial" w:cs="Arial"/>
                <w:color w:val="auto"/>
                <w:sz w:val="20"/>
                <w:szCs w:val="20"/>
                <w:lang w:val="en-US"/>
              </w:rPr>
              <w:t>90 455</w:t>
            </w:r>
          </w:p>
        </w:tc>
        <w:tc>
          <w:tcPr>
            <w:tcW w:w="663" w:type="pct"/>
            <w:vAlign w:val="center"/>
          </w:tcPr>
          <w:p w:rsidR="00D4356A" w:rsidRPr="00D4356A" w:rsidRDefault="00D4356A" w:rsidP="00950F4E">
            <w:pPr>
              <w:spacing w:before="20" w:after="20"/>
              <w:jc w:val="right"/>
              <w:rPr>
                <w:rFonts w:ascii="Arial" w:hAnsi="Arial" w:cs="Arial"/>
                <w:color w:val="auto"/>
                <w:sz w:val="20"/>
                <w:szCs w:val="20"/>
                <w:lang w:val="en-US"/>
              </w:rPr>
            </w:pPr>
            <w:r w:rsidRPr="00D4356A">
              <w:rPr>
                <w:rFonts w:ascii="Arial" w:hAnsi="Arial" w:cs="Arial"/>
                <w:color w:val="auto"/>
                <w:sz w:val="20"/>
                <w:szCs w:val="20"/>
                <w:lang w:val="en-US"/>
              </w:rPr>
              <w:t>-</w:t>
            </w:r>
          </w:p>
        </w:tc>
        <w:tc>
          <w:tcPr>
            <w:tcW w:w="658" w:type="pct"/>
            <w:vAlign w:val="center"/>
          </w:tcPr>
          <w:p w:rsidR="00D4356A" w:rsidRPr="00D4356A" w:rsidRDefault="00D4356A" w:rsidP="00950F4E">
            <w:pPr>
              <w:spacing w:before="20" w:after="20"/>
              <w:jc w:val="right"/>
              <w:rPr>
                <w:rFonts w:ascii="Arial" w:hAnsi="Arial" w:cs="Arial"/>
                <w:bCs/>
                <w:sz w:val="20"/>
                <w:szCs w:val="20"/>
                <w:lang w:val="en-US"/>
              </w:rPr>
            </w:pPr>
            <w:r w:rsidRPr="00D4356A">
              <w:rPr>
                <w:rFonts w:ascii="Arial" w:hAnsi="Arial" w:cs="Arial"/>
                <w:bCs/>
                <w:sz w:val="20"/>
                <w:szCs w:val="20"/>
                <w:lang w:val="en-US"/>
              </w:rPr>
              <w:t>90 455</w:t>
            </w:r>
          </w:p>
        </w:tc>
      </w:tr>
      <w:tr w:rsidR="00D4356A" w:rsidRPr="00D4356A" w:rsidTr="00950F4E">
        <w:trPr>
          <w:trHeight w:val="20"/>
        </w:trPr>
        <w:tc>
          <w:tcPr>
            <w:tcW w:w="2353" w:type="pct"/>
            <w:shd w:val="clear" w:color="auto" w:fill="auto"/>
            <w:vAlign w:val="center"/>
          </w:tcPr>
          <w:p w:rsidR="00D4356A" w:rsidRPr="00D4356A" w:rsidRDefault="00D4356A" w:rsidP="00950F4E">
            <w:pPr>
              <w:spacing w:before="20" w:after="20"/>
              <w:rPr>
                <w:rFonts w:ascii="Arial" w:hAnsi="Arial" w:cs="Arial"/>
                <w:sz w:val="20"/>
                <w:szCs w:val="20"/>
              </w:rPr>
            </w:pPr>
            <w:r w:rsidRPr="00D4356A">
              <w:rPr>
                <w:rFonts w:ascii="Arial" w:hAnsi="Arial" w:cs="Arial"/>
                <w:sz w:val="20"/>
                <w:szCs w:val="20"/>
              </w:rPr>
              <w:t>Поточна кредиторська заборгованість за товари, роботи, послуги</w:t>
            </w:r>
          </w:p>
        </w:tc>
        <w:tc>
          <w:tcPr>
            <w:tcW w:w="663" w:type="pct"/>
            <w:shd w:val="clear" w:color="auto" w:fill="auto"/>
            <w:vAlign w:val="center"/>
          </w:tcPr>
          <w:p w:rsidR="00D4356A" w:rsidRPr="00D4356A" w:rsidRDefault="00D4356A" w:rsidP="00950F4E">
            <w:pPr>
              <w:spacing w:before="20" w:after="20"/>
              <w:jc w:val="right"/>
              <w:rPr>
                <w:rFonts w:ascii="Arial" w:hAnsi="Arial" w:cs="Arial"/>
                <w:bCs/>
                <w:color w:val="auto"/>
                <w:sz w:val="20"/>
                <w:szCs w:val="20"/>
                <w:lang w:val="en-US"/>
              </w:rPr>
            </w:pPr>
            <w:r w:rsidRPr="00D4356A">
              <w:rPr>
                <w:rFonts w:ascii="Arial" w:hAnsi="Arial" w:cs="Arial"/>
                <w:bCs/>
                <w:color w:val="auto"/>
                <w:sz w:val="20"/>
                <w:szCs w:val="20"/>
                <w:lang w:val="en-US"/>
              </w:rPr>
              <w:t>21 987</w:t>
            </w:r>
          </w:p>
        </w:tc>
        <w:tc>
          <w:tcPr>
            <w:tcW w:w="663" w:type="pct"/>
            <w:vAlign w:val="center"/>
          </w:tcPr>
          <w:p w:rsidR="00D4356A" w:rsidRPr="00D4356A" w:rsidRDefault="00D4356A" w:rsidP="00950F4E">
            <w:pPr>
              <w:spacing w:before="20" w:after="20"/>
              <w:jc w:val="right"/>
              <w:rPr>
                <w:rFonts w:ascii="Arial" w:hAnsi="Arial" w:cs="Arial"/>
                <w:color w:val="auto"/>
                <w:sz w:val="20"/>
                <w:szCs w:val="20"/>
                <w:lang w:val="en-US"/>
              </w:rPr>
            </w:pPr>
            <w:r w:rsidRPr="00D4356A">
              <w:rPr>
                <w:rFonts w:ascii="Arial" w:hAnsi="Arial" w:cs="Arial"/>
                <w:color w:val="auto"/>
                <w:sz w:val="20"/>
                <w:szCs w:val="20"/>
                <w:lang w:val="en-US"/>
              </w:rPr>
              <w:t>-</w:t>
            </w:r>
          </w:p>
        </w:tc>
        <w:tc>
          <w:tcPr>
            <w:tcW w:w="663" w:type="pct"/>
            <w:vAlign w:val="center"/>
          </w:tcPr>
          <w:p w:rsidR="00D4356A" w:rsidRPr="00D4356A" w:rsidRDefault="00D4356A" w:rsidP="00950F4E">
            <w:pPr>
              <w:spacing w:before="20" w:after="20"/>
              <w:jc w:val="right"/>
              <w:rPr>
                <w:rFonts w:ascii="Arial" w:hAnsi="Arial" w:cs="Arial"/>
                <w:color w:val="auto"/>
                <w:sz w:val="20"/>
                <w:szCs w:val="20"/>
                <w:lang w:val="en-US"/>
              </w:rPr>
            </w:pPr>
            <w:r w:rsidRPr="00D4356A">
              <w:rPr>
                <w:rFonts w:ascii="Arial" w:hAnsi="Arial" w:cs="Arial"/>
                <w:color w:val="auto"/>
                <w:sz w:val="20"/>
                <w:szCs w:val="20"/>
                <w:lang w:val="en-US"/>
              </w:rPr>
              <w:t>-</w:t>
            </w:r>
          </w:p>
        </w:tc>
        <w:tc>
          <w:tcPr>
            <w:tcW w:w="658" w:type="pct"/>
            <w:vAlign w:val="center"/>
          </w:tcPr>
          <w:p w:rsidR="00D4356A" w:rsidRPr="00D4356A" w:rsidRDefault="00D4356A" w:rsidP="00950F4E">
            <w:pPr>
              <w:spacing w:before="20" w:after="20"/>
              <w:jc w:val="right"/>
              <w:rPr>
                <w:rFonts w:ascii="Arial" w:hAnsi="Arial" w:cs="Arial"/>
                <w:bCs/>
                <w:sz w:val="20"/>
                <w:szCs w:val="20"/>
                <w:lang w:val="en-US"/>
              </w:rPr>
            </w:pPr>
            <w:r w:rsidRPr="00D4356A">
              <w:rPr>
                <w:rFonts w:ascii="Arial" w:hAnsi="Arial" w:cs="Arial"/>
                <w:bCs/>
                <w:sz w:val="20"/>
                <w:szCs w:val="20"/>
                <w:lang w:val="en-US"/>
              </w:rPr>
              <w:t>21 987</w:t>
            </w:r>
          </w:p>
        </w:tc>
      </w:tr>
      <w:tr w:rsidR="00D4356A" w:rsidRPr="00D4356A" w:rsidTr="00950F4E">
        <w:trPr>
          <w:trHeight w:val="20"/>
        </w:trPr>
        <w:tc>
          <w:tcPr>
            <w:tcW w:w="2353" w:type="pct"/>
            <w:tcBorders>
              <w:bottom w:val="single" w:sz="4" w:space="0" w:color="auto"/>
            </w:tcBorders>
            <w:shd w:val="clear" w:color="auto" w:fill="auto"/>
            <w:vAlign w:val="center"/>
          </w:tcPr>
          <w:p w:rsidR="00D4356A" w:rsidRPr="00D4356A" w:rsidRDefault="00D4356A" w:rsidP="00950F4E">
            <w:pPr>
              <w:spacing w:before="20" w:after="20"/>
              <w:rPr>
                <w:rFonts w:ascii="Arial" w:hAnsi="Arial" w:cs="Arial"/>
                <w:sz w:val="20"/>
                <w:szCs w:val="20"/>
              </w:rPr>
            </w:pPr>
            <w:r w:rsidRPr="00D4356A">
              <w:rPr>
                <w:rFonts w:ascii="Arial" w:hAnsi="Arial" w:cs="Arial"/>
                <w:sz w:val="20"/>
                <w:szCs w:val="20"/>
              </w:rPr>
              <w:t>Інші поточні зобов'язання</w:t>
            </w:r>
          </w:p>
        </w:tc>
        <w:tc>
          <w:tcPr>
            <w:tcW w:w="663" w:type="pct"/>
            <w:tcBorders>
              <w:bottom w:val="single" w:sz="4" w:space="0" w:color="auto"/>
            </w:tcBorders>
            <w:shd w:val="clear" w:color="auto" w:fill="auto"/>
            <w:vAlign w:val="center"/>
          </w:tcPr>
          <w:p w:rsidR="00D4356A" w:rsidRPr="00D4356A" w:rsidRDefault="00D4356A" w:rsidP="00950F4E">
            <w:pPr>
              <w:spacing w:before="20" w:after="20"/>
              <w:jc w:val="right"/>
              <w:rPr>
                <w:rFonts w:ascii="Arial" w:hAnsi="Arial" w:cs="Arial"/>
                <w:bCs/>
                <w:sz w:val="20"/>
                <w:szCs w:val="20"/>
                <w:lang w:val="en-US"/>
              </w:rPr>
            </w:pPr>
            <w:r w:rsidRPr="00D4356A">
              <w:rPr>
                <w:rFonts w:ascii="Arial" w:hAnsi="Arial" w:cs="Arial"/>
                <w:bCs/>
                <w:sz w:val="20"/>
                <w:szCs w:val="20"/>
                <w:lang w:val="en-US"/>
              </w:rPr>
              <w:t>49 806</w:t>
            </w:r>
          </w:p>
        </w:tc>
        <w:tc>
          <w:tcPr>
            <w:tcW w:w="663" w:type="pct"/>
            <w:tcBorders>
              <w:bottom w:val="single" w:sz="4" w:space="0" w:color="auto"/>
            </w:tcBorders>
            <w:vAlign w:val="center"/>
          </w:tcPr>
          <w:p w:rsidR="00D4356A" w:rsidRPr="00D4356A" w:rsidRDefault="00D4356A" w:rsidP="00950F4E">
            <w:pPr>
              <w:spacing w:before="20" w:after="20"/>
              <w:jc w:val="right"/>
              <w:rPr>
                <w:rFonts w:ascii="Arial" w:hAnsi="Arial" w:cs="Arial"/>
                <w:sz w:val="20"/>
                <w:szCs w:val="20"/>
                <w:lang w:val="en-US"/>
              </w:rPr>
            </w:pPr>
            <w:r w:rsidRPr="00D4356A">
              <w:rPr>
                <w:rFonts w:ascii="Arial" w:hAnsi="Arial" w:cs="Arial"/>
                <w:sz w:val="20"/>
                <w:szCs w:val="20"/>
                <w:lang w:val="en-US"/>
              </w:rPr>
              <w:t>-</w:t>
            </w:r>
          </w:p>
        </w:tc>
        <w:tc>
          <w:tcPr>
            <w:tcW w:w="663" w:type="pct"/>
            <w:tcBorders>
              <w:bottom w:val="single" w:sz="4" w:space="0" w:color="auto"/>
            </w:tcBorders>
            <w:vAlign w:val="center"/>
          </w:tcPr>
          <w:p w:rsidR="00D4356A" w:rsidRPr="00D4356A" w:rsidRDefault="00D4356A" w:rsidP="00950F4E">
            <w:pPr>
              <w:spacing w:before="20" w:after="20"/>
              <w:jc w:val="right"/>
              <w:rPr>
                <w:rFonts w:ascii="Arial" w:hAnsi="Arial" w:cs="Arial"/>
                <w:sz w:val="20"/>
                <w:szCs w:val="20"/>
                <w:lang w:val="en-US"/>
              </w:rPr>
            </w:pPr>
            <w:r w:rsidRPr="00D4356A">
              <w:rPr>
                <w:rFonts w:ascii="Arial" w:hAnsi="Arial" w:cs="Arial"/>
                <w:sz w:val="20"/>
                <w:szCs w:val="20"/>
                <w:lang w:val="en-US"/>
              </w:rPr>
              <w:t>-</w:t>
            </w:r>
          </w:p>
        </w:tc>
        <w:tc>
          <w:tcPr>
            <w:tcW w:w="658" w:type="pct"/>
            <w:tcBorders>
              <w:bottom w:val="single" w:sz="4" w:space="0" w:color="auto"/>
            </w:tcBorders>
            <w:vAlign w:val="center"/>
          </w:tcPr>
          <w:p w:rsidR="00D4356A" w:rsidRPr="00D4356A" w:rsidRDefault="00D4356A" w:rsidP="00950F4E">
            <w:pPr>
              <w:spacing w:before="20" w:after="20"/>
              <w:jc w:val="right"/>
              <w:rPr>
                <w:rFonts w:ascii="Arial" w:hAnsi="Arial" w:cs="Arial"/>
                <w:bCs/>
                <w:sz w:val="20"/>
                <w:szCs w:val="20"/>
                <w:lang w:val="en-US"/>
              </w:rPr>
            </w:pPr>
            <w:r w:rsidRPr="00D4356A">
              <w:rPr>
                <w:rFonts w:ascii="Arial" w:hAnsi="Arial" w:cs="Arial"/>
                <w:bCs/>
                <w:sz w:val="20"/>
                <w:szCs w:val="20"/>
                <w:lang w:val="en-US"/>
              </w:rPr>
              <w:t>49 806</w:t>
            </w:r>
          </w:p>
        </w:tc>
      </w:tr>
    </w:tbl>
    <w:p w:rsidR="00D4356A" w:rsidRPr="00D4356A" w:rsidRDefault="00D4356A" w:rsidP="00D4356A">
      <w:pPr>
        <w:pStyle w:val="fs-3"/>
        <w:rPr>
          <w:szCs w:val="20"/>
        </w:rPr>
      </w:pPr>
      <w:r w:rsidRPr="00D4356A">
        <w:rPr>
          <w:szCs w:val="20"/>
        </w:rPr>
        <w:t>Ринковий ризик</w:t>
      </w:r>
    </w:p>
    <w:p w:rsidR="00D4356A" w:rsidRPr="00D4356A" w:rsidRDefault="00D4356A" w:rsidP="00D4356A">
      <w:pPr>
        <w:pStyle w:val="fs-0"/>
        <w:rPr>
          <w:szCs w:val="20"/>
        </w:rPr>
      </w:pPr>
      <w:r w:rsidRPr="00D4356A">
        <w:rPr>
          <w:szCs w:val="20"/>
        </w:rPr>
        <w:t xml:space="preserve">Ризик того, що справедлива вартість або майбутні грошові потоки від фінансового інструмента коливатимуться внаслідок змін ринкових цін. Ринковий ризик охоплює три типи ризику: валютний ризик, процентний ризик та інший ціновий ризик. </w:t>
      </w:r>
    </w:p>
    <w:p w:rsidR="00D4356A" w:rsidRPr="00D4356A" w:rsidRDefault="00D4356A" w:rsidP="00D4356A">
      <w:pPr>
        <w:pStyle w:val="fs-40"/>
        <w:rPr>
          <w:szCs w:val="20"/>
        </w:rPr>
      </w:pPr>
      <w:r w:rsidRPr="00D4356A">
        <w:rPr>
          <w:szCs w:val="20"/>
        </w:rPr>
        <w:t>Валютний ризик</w:t>
      </w:r>
    </w:p>
    <w:p w:rsidR="00D4356A" w:rsidRPr="00D4356A" w:rsidRDefault="00D4356A" w:rsidP="00D4356A">
      <w:pPr>
        <w:pStyle w:val="fs-0"/>
        <w:rPr>
          <w:szCs w:val="20"/>
        </w:rPr>
      </w:pPr>
      <w:r w:rsidRPr="00D4356A">
        <w:rPr>
          <w:szCs w:val="20"/>
        </w:rPr>
        <w:t>Валютний ризик – це ризик того, що справедлива вартість або майбутні грошові потоки від фінансового інструменту коливатимуться внаслідок змін валютних курсів.</w:t>
      </w:r>
    </w:p>
    <w:p w:rsidR="00D4356A" w:rsidRPr="00D4356A" w:rsidRDefault="00D4356A" w:rsidP="00D4356A">
      <w:pPr>
        <w:pStyle w:val="fs-0"/>
        <w:rPr>
          <w:color w:val="000000" w:themeColor="text1"/>
          <w:szCs w:val="20"/>
        </w:rPr>
      </w:pPr>
      <w:r w:rsidRPr="00D4356A">
        <w:rPr>
          <w:szCs w:val="20"/>
        </w:rPr>
        <w:t xml:space="preserve">Валютний ризик Компанії є </w:t>
      </w:r>
      <w:r w:rsidRPr="00D4356A">
        <w:rPr>
          <w:color w:val="000000" w:themeColor="text1"/>
          <w:szCs w:val="20"/>
        </w:rPr>
        <w:t>високий, оскільки вона має значний обсяг операцій в іноземній валюті, а саме в євро та дол. США. Ці операції  мають суттєвий вплив на діяльність Компанії.</w:t>
      </w:r>
    </w:p>
    <w:p w:rsidR="00D4356A" w:rsidRPr="00D4356A" w:rsidRDefault="00D4356A" w:rsidP="00D4356A">
      <w:pPr>
        <w:pStyle w:val="fs-0"/>
        <w:keepNext/>
        <w:rPr>
          <w:szCs w:val="20"/>
        </w:rPr>
      </w:pPr>
      <w:r w:rsidRPr="00D4356A">
        <w:rPr>
          <w:szCs w:val="20"/>
        </w:rPr>
        <w:t>Залежність Компанії від валютного ризику представлена на основі балансової вартості відповідних активів та зобов’язань, деномінованих в іноземних валютах таким чином:</w:t>
      </w:r>
    </w:p>
    <w:p w:rsidR="00D4356A" w:rsidRPr="00D4356A" w:rsidRDefault="00D4356A" w:rsidP="00D4356A">
      <w:pPr>
        <w:pStyle w:val="fs-0"/>
        <w:keepNext/>
        <w:rPr>
          <w:szCs w:val="20"/>
        </w:rPr>
      </w:pPr>
    </w:p>
    <w:p w:rsidR="00D4356A" w:rsidRPr="00D4356A" w:rsidRDefault="00D4356A" w:rsidP="00D4356A">
      <w:pPr>
        <w:pStyle w:val="fs-0"/>
        <w:keepNext/>
        <w:rPr>
          <w:szCs w:val="20"/>
        </w:rPr>
      </w:pPr>
    </w:p>
    <w:tbl>
      <w:tblPr>
        <w:tblW w:w="4990" w:type="pct"/>
        <w:tblLook w:val="01E0" w:firstRow="1" w:lastRow="1" w:firstColumn="1" w:lastColumn="1" w:noHBand="0" w:noVBand="0"/>
      </w:tblPr>
      <w:tblGrid>
        <w:gridCol w:w="3732"/>
        <w:gridCol w:w="1401"/>
        <w:gridCol w:w="1401"/>
        <w:gridCol w:w="1401"/>
        <w:gridCol w:w="1401"/>
      </w:tblGrid>
      <w:tr w:rsidR="00D4356A" w:rsidRPr="00D4356A" w:rsidTr="00950F4E">
        <w:trPr>
          <w:trHeight w:val="70"/>
        </w:trPr>
        <w:tc>
          <w:tcPr>
            <w:tcW w:w="3942" w:type="dxa"/>
            <w:shd w:val="clear" w:color="auto" w:fill="auto"/>
            <w:vAlign w:val="center"/>
          </w:tcPr>
          <w:p w:rsidR="00D4356A" w:rsidRPr="00D4356A" w:rsidRDefault="00D4356A" w:rsidP="00950F4E">
            <w:pPr>
              <w:pStyle w:val="fs-4"/>
              <w:spacing w:line="235" w:lineRule="auto"/>
              <w:rPr>
                <w:sz w:val="20"/>
                <w:szCs w:val="20"/>
              </w:rPr>
            </w:pPr>
          </w:p>
        </w:tc>
        <w:tc>
          <w:tcPr>
            <w:tcW w:w="2840" w:type="dxa"/>
            <w:gridSpan w:val="2"/>
            <w:tcBorders>
              <w:bottom w:val="single" w:sz="4" w:space="0" w:color="auto"/>
            </w:tcBorders>
            <w:shd w:val="clear" w:color="auto" w:fill="auto"/>
            <w:vAlign w:val="center"/>
          </w:tcPr>
          <w:p w:rsidR="00D4356A" w:rsidRPr="00D4356A" w:rsidRDefault="00D4356A" w:rsidP="00950F4E">
            <w:pPr>
              <w:pStyle w:val="fs-4"/>
              <w:spacing w:line="235" w:lineRule="auto"/>
              <w:jc w:val="center"/>
              <w:rPr>
                <w:b/>
                <w:sz w:val="20"/>
                <w:szCs w:val="20"/>
              </w:rPr>
            </w:pPr>
            <w:r w:rsidRPr="00D4356A">
              <w:rPr>
                <w:b/>
                <w:sz w:val="20"/>
                <w:szCs w:val="20"/>
              </w:rPr>
              <w:t>Долар США</w:t>
            </w:r>
          </w:p>
        </w:tc>
        <w:tc>
          <w:tcPr>
            <w:tcW w:w="2840" w:type="dxa"/>
            <w:gridSpan w:val="2"/>
            <w:tcBorders>
              <w:bottom w:val="single" w:sz="4" w:space="0" w:color="auto"/>
            </w:tcBorders>
            <w:vAlign w:val="center"/>
          </w:tcPr>
          <w:p w:rsidR="00D4356A" w:rsidRPr="00D4356A" w:rsidRDefault="00D4356A" w:rsidP="00950F4E">
            <w:pPr>
              <w:pStyle w:val="fs-4"/>
              <w:spacing w:line="235" w:lineRule="auto"/>
              <w:jc w:val="center"/>
              <w:rPr>
                <w:b/>
                <w:sz w:val="20"/>
                <w:szCs w:val="20"/>
              </w:rPr>
            </w:pPr>
            <w:r w:rsidRPr="00D4356A">
              <w:rPr>
                <w:b/>
                <w:sz w:val="20"/>
                <w:szCs w:val="20"/>
              </w:rPr>
              <w:t>Євро</w:t>
            </w:r>
          </w:p>
        </w:tc>
      </w:tr>
      <w:tr w:rsidR="00D4356A" w:rsidRPr="00D4356A" w:rsidTr="00950F4E">
        <w:trPr>
          <w:trHeight w:val="70"/>
        </w:trPr>
        <w:tc>
          <w:tcPr>
            <w:tcW w:w="3942" w:type="dxa"/>
            <w:tcBorders>
              <w:bottom w:val="single" w:sz="4" w:space="0" w:color="auto"/>
            </w:tcBorders>
            <w:shd w:val="clear" w:color="auto" w:fill="auto"/>
            <w:vAlign w:val="center"/>
          </w:tcPr>
          <w:p w:rsidR="00D4356A" w:rsidRPr="00D4356A" w:rsidRDefault="00D4356A" w:rsidP="00950F4E">
            <w:pPr>
              <w:pStyle w:val="fs-4"/>
              <w:spacing w:line="235" w:lineRule="auto"/>
              <w:rPr>
                <w:sz w:val="20"/>
                <w:szCs w:val="20"/>
              </w:rPr>
            </w:pPr>
          </w:p>
        </w:tc>
        <w:tc>
          <w:tcPr>
            <w:tcW w:w="1420" w:type="dxa"/>
            <w:tcBorders>
              <w:top w:val="single" w:sz="4" w:space="0" w:color="auto"/>
              <w:bottom w:val="single" w:sz="4" w:space="0" w:color="auto"/>
            </w:tcBorders>
            <w:shd w:val="clear" w:color="auto" w:fill="auto"/>
            <w:vAlign w:val="center"/>
          </w:tcPr>
          <w:p w:rsidR="00D4356A" w:rsidRPr="00D4356A" w:rsidRDefault="00D4356A" w:rsidP="00950F4E">
            <w:pPr>
              <w:pStyle w:val="fs-4"/>
              <w:spacing w:line="235" w:lineRule="auto"/>
              <w:jc w:val="center"/>
              <w:rPr>
                <w:b/>
                <w:sz w:val="20"/>
                <w:szCs w:val="20"/>
              </w:rPr>
            </w:pPr>
            <w:r w:rsidRPr="00D4356A">
              <w:rPr>
                <w:b/>
                <w:sz w:val="20"/>
                <w:szCs w:val="20"/>
              </w:rPr>
              <w:t>31.12.2023</w:t>
            </w:r>
          </w:p>
        </w:tc>
        <w:tc>
          <w:tcPr>
            <w:tcW w:w="1420" w:type="dxa"/>
            <w:tcBorders>
              <w:top w:val="single" w:sz="4" w:space="0" w:color="auto"/>
              <w:bottom w:val="single" w:sz="4" w:space="0" w:color="auto"/>
            </w:tcBorders>
            <w:vAlign w:val="center"/>
          </w:tcPr>
          <w:p w:rsidR="00D4356A" w:rsidRPr="00D4356A" w:rsidRDefault="00D4356A" w:rsidP="00950F4E">
            <w:pPr>
              <w:pStyle w:val="fs-4"/>
              <w:spacing w:line="235" w:lineRule="auto"/>
              <w:jc w:val="center"/>
              <w:rPr>
                <w:b/>
                <w:sz w:val="20"/>
                <w:szCs w:val="20"/>
              </w:rPr>
            </w:pPr>
            <w:r w:rsidRPr="00D4356A">
              <w:rPr>
                <w:b/>
                <w:sz w:val="20"/>
                <w:szCs w:val="20"/>
              </w:rPr>
              <w:t>31.12.2022</w:t>
            </w:r>
          </w:p>
        </w:tc>
        <w:tc>
          <w:tcPr>
            <w:tcW w:w="1420" w:type="dxa"/>
            <w:tcBorders>
              <w:top w:val="single" w:sz="4" w:space="0" w:color="auto"/>
              <w:bottom w:val="single" w:sz="4" w:space="0" w:color="auto"/>
            </w:tcBorders>
            <w:vAlign w:val="center"/>
          </w:tcPr>
          <w:p w:rsidR="00D4356A" w:rsidRPr="00D4356A" w:rsidRDefault="00D4356A" w:rsidP="00950F4E">
            <w:pPr>
              <w:pStyle w:val="fs-4"/>
              <w:spacing w:line="235" w:lineRule="auto"/>
              <w:jc w:val="center"/>
              <w:rPr>
                <w:b/>
                <w:sz w:val="20"/>
                <w:szCs w:val="20"/>
              </w:rPr>
            </w:pPr>
            <w:r w:rsidRPr="00D4356A">
              <w:rPr>
                <w:b/>
                <w:sz w:val="20"/>
                <w:szCs w:val="20"/>
              </w:rPr>
              <w:t>31.12.2023</w:t>
            </w:r>
          </w:p>
        </w:tc>
        <w:tc>
          <w:tcPr>
            <w:tcW w:w="1420" w:type="dxa"/>
            <w:tcBorders>
              <w:top w:val="single" w:sz="4" w:space="0" w:color="auto"/>
              <w:bottom w:val="single" w:sz="4" w:space="0" w:color="auto"/>
            </w:tcBorders>
            <w:vAlign w:val="center"/>
          </w:tcPr>
          <w:p w:rsidR="00D4356A" w:rsidRPr="00D4356A" w:rsidRDefault="00D4356A" w:rsidP="00950F4E">
            <w:pPr>
              <w:pStyle w:val="fs-4"/>
              <w:spacing w:line="235" w:lineRule="auto"/>
              <w:jc w:val="center"/>
              <w:rPr>
                <w:b/>
                <w:sz w:val="20"/>
                <w:szCs w:val="20"/>
              </w:rPr>
            </w:pPr>
            <w:r w:rsidRPr="00D4356A">
              <w:rPr>
                <w:b/>
                <w:sz w:val="20"/>
                <w:szCs w:val="20"/>
              </w:rPr>
              <w:t>31.12.2022</w:t>
            </w:r>
          </w:p>
        </w:tc>
      </w:tr>
      <w:tr w:rsidR="00D4356A" w:rsidRPr="00D4356A" w:rsidTr="00950F4E">
        <w:trPr>
          <w:trHeight w:val="113"/>
        </w:trPr>
        <w:tc>
          <w:tcPr>
            <w:tcW w:w="3942" w:type="dxa"/>
            <w:shd w:val="clear" w:color="auto" w:fill="auto"/>
            <w:vAlign w:val="center"/>
          </w:tcPr>
          <w:p w:rsidR="00D4356A" w:rsidRPr="00D4356A" w:rsidRDefault="00D4356A" w:rsidP="00950F4E">
            <w:pPr>
              <w:pStyle w:val="fs-4"/>
              <w:rPr>
                <w:sz w:val="20"/>
                <w:szCs w:val="20"/>
              </w:rPr>
            </w:pPr>
            <w:r w:rsidRPr="00D4356A">
              <w:rPr>
                <w:sz w:val="20"/>
                <w:szCs w:val="20"/>
              </w:rPr>
              <w:t>Гроші та їх еквіваленти</w:t>
            </w:r>
          </w:p>
        </w:tc>
        <w:tc>
          <w:tcPr>
            <w:tcW w:w="1420" w:type="dxa"/>
            <w:shd w:val="clear" w:color="auto" w:fill="auto"/>
            <w:vAlign w:val="center"/>
          </w:tcPr>
          <w:p w:rsidR="00D4356A" w:rsidRPr="00D4356A" w:rsidRDefault="00D4356A" w:rsidP="00950F4E">
            <w:pPr>
              <w:pStyle w:val="fs-4"/>
              <w:jc w:val="right"/>
              <w:rPr>
                <w:sz w:val="20"/>
                <w:szCs w:val="20"/>
              </w:rPr>
            </w:pPr>
            <w:r w:rsidRPr="00D4356A">
              <w:rPr>
                <w:sz w:val="20"/>
                <w:szCs w:val="20"/>
              </w:rPr>
              <w:t>171</w:t>
            </w:r>
          </w:p>
        </w:tc>
        <w:tc>
          <w:tcPr>
            <w:tcW w:w="1420" w:type="dxa"/>
            <w:shd w:val="clear" w:color="auto" w:fill="auto"/>
            <w:vAlign w:val="center"/>
          </w:tcPr>
          <w:p w:rsidR="00D4356A" w:rsidRPr="00D4356A" w:rsidRDefault="00D4356A" w:rsidP="00950F4E">
            <w:pPr>
              <w:pStyle w:val="fs-4"/>
              <w:jc w:val="right"/>
              <w:rPr>
                <w:sz w:val="20"/>
                <w:szCs w:val="20"/>
                <w:lang w:val="en-US"/>
              </w:rPr>
            </w:pPr>
            <w:r w:rsidRPr="00D4356A">
              <w:rPr>
                <w:sz w:val="20"/>
                <w:szCs w:val="20"/>
                <w:lang w:val="en-US"/>
              </w:rPr>
              <w:t>-</w:t>
            </w:r>
          </w:p>
        </w:tc>
        <w:tc>
          <w:tcPr>
            <w:tcW w:w="1420" w:type="dxa"/>
            <w:vAlign w:val="center"/>
          </w:tcPr>
          <w:p w:rsidR="00D4356A" w:rsidRPr="00D4356A" w:rsidRDefault="00D4356A" w:rsidP="00950F4E">
            <w:pPr>
              <w:pStyle w:val="fs-4"/>
              <w:jc w:val="right"/>
              <w:rPr>
                <w:sz w:val="20"/>
                <w:szCs w:val="20"/>
                <w:lang w:val="en-US"/>
              </w:rPr>
            </w:pPr>
            <w:r w:rsidRPr="00D4356A">
              <w:rPr>
                <w:sz w:val="20"/>
                <w:szCs w:val="20"/>
                <w:lang w:val="en-US"/>
              </w:rPr>
              <w:t>-</w:t>
            </w:r>
          </w:p>
        </w:tc>
        <w:tc>
          <w:tcPr>
            <w:tcW w:w="1420" w:type="dxa"/>
            <w:shd w:val="clear" w:color="auto" w:fill="auto"/>
            <w:vAlign w:val="center"/>
          </w:tcPr>
          <w:p w:rsidR="00D4356A" w:rsidRPr="00D4356A" w:rsidRDefault="00D4356A" w:rsidP="00950F4E">
            <w:pPr>
              <w:pStyle w:val="fs-4"/>
              <w:jc w:val="right"/>
              <w:rPr>
                <w:sz w:val="20"/>
                <w:szCs w:val="20"/>
                <w:lang w:val="en-US"/>
              </w:rPr>
            </w:pPr>
            <w:r w:rsidRPr="00D4356A">
              <w:rPr>
                <w:sz w:val="20"/>
                <w:szCs w:val="20"/>
                <w:lang w:val="en-US"/>
              </w:rPr>
              <w:t>-</w:t>
            </w:r>
          </w:p>
        </w:tc>
      </w:tr>
      <w:tr w:rsidR="00D4356A" w:rsidRPr="00D4356A" w:rsidTr="00950F4E">
        <w:trPr>
          <w:trHeight w:val="113"/>
        </w:trPr>
        <w:tc>
          <w:tcPr>
            <w:tcW w:w="3942" w:type="dxa"/>
            <w:shd w:val="clear" w:color="auto" w:fill="auto"/>
            <w:vAlign w:val="center"/>
          </w:tcPr>
          <w:p w:rsidR="00D4356A" w:rsidRPr="00D4356A" w:rsidRDefault="00D4356A" w:rsidP="00950F4E">
            <w:pPr>
              <w:pStyle w:val="fs-4"/>
              <w:rPr>
                <w:sz w:val="20"/>
                <w:szCs w:val="20"/>
              </w:rPr>
            </w:pPr>
            <w:r w:rsidRPr="00D4356A">
              <w:rPr>
                <w:sz w:val="20"/>
                <w:szCs w:val="20"/>
              </w:rPr>
              <w:t>Інша дебіторська заборгованість</w:t>
            </w:r>
          </w:p>
        </w:tc>
        <w:tc>
          <w:tcPr>
            <w:tcW w:w="1420" w:type="dxa"/>
            <w:shd w:val="clear" w:color="auto" w:fill="auto"/>
            <w:vAlign w:val="center"/>
          </w:tcPr>
          <w:p w:rsidR="00D4356A" w:rsidRPr="00D4356A" w:rsidRDefault="00D4356A" w:rsidP="00950F4E">
            <w:pPr>
              <w:pStyle w:val="fs-4"/>
              <w:jc w:val="right"/>
              <w:rPr>
                <w:sz w:val="20"/>
                <w:szCs w:val="20"/>
                <w:lang w:val="en-US"/>
              </w:rPr>
            </w:pPr>
            <w:r w:rsidRPr="00D4356A">
              <w:rPr>
                <w:sz w:val="20"/>
                <w:szCs w:val="20"/>
                <w:lang w:val="en-US"/>
              </w:rPr>
              <w:t>-</w:t>
            </w:r>
          </w:p>
        </w:tc>
        <w:tc>
          <w:tcPr>
            <w:tcW w:w="1420" w:type="dxa"/>
            <w:shd w:val="clear" w:color="auto" w:fill="auto"/>
            <w:vAlign w:val="center"/>
          </w:tcPr>
          <w:p w:rsidR="00D4356A" w:rsidRPr="00D4356A" w:rsidRDefault="00D4356A" w:rsidP="00950F4E">
            <w:pPr>
              <w:pStyle w:val="fs-4"/>
              <w:jc w:val="right"/>
              <w:rPr>
                <w:sz w:val="20"/>
                <w:szCs w:val="20"/>
                <w:lang w:val="en-US"/>
              </w:rPr>
            </w:pPr>
            <w:r w:rsidRPr="00D4356A">
              <w:rPr>
                <w:sz w:val="20"/>
                <w:szCs w:val="20"/>
                <w:lang w:val="en-US"/>
              </w:rPr>
              <w:t>-</w:t>
            </w:r>
          </w:p>
        </w:tc>
        <w:tc>
          <w:tcPr>
            <w:tcW w:w="1420" w:type="dxa"/>
            <w:vAlign w:val="center"/>
          </w:tcPr>
          <w:p w:rsidR="00D4356A" w:rsidRPr="00D4356A" w:rsidRDefault="00D4356A" w:rsidP="00950F4E">
            <w:pPr>
              <w:pStyle w:val="fs-4"/>
              <w:jc w:val="right"/>
              <w:rPr>
                <w:sz w:val="20"/>
                <w:szCs w:val="20"/>
              </w:rPr>
            </w:pPr>
            <w:r w:rsidRPr="00D4356A">
              <w:rPr>
                <w:sz w:val="20"/>
                <w:szCs w:val="20"/>
              </w:rPr>
              <w:t>1</w:t>
            </w:r>
          </w:p>
        </w:tc>
        <w:tc>
          <w:tcPr>
            <w:tcW w:w="1420" w:type="dxa"/>
            <w:shd w:val="clear" w:color="auto" w:fill="auto"/>
            <w:vAlign w:val="center"/>
          </w:tcPr>
          <w:p w:rsidR="00D4356A" w:rsidRPr="00D4356A" w:rsidRDefault="00D4356A" w:rsidP="00950F4E">
            <w:pPr>
              <w:pStyle w:val="fs-4"/>
              <w:jc w:val="right"/>
              <w:rPr>
                <w:sz w:val="20"/>
                <w:szCs w:val="20"/>
              </w:rPr>
            </w:pPr>
            <w:r w:rsidRPr="00D4356A">
              <w:rPr>
                <w:sz w:val="20"/>
                <w:szCs w:val="20"/>
              </w:rPr>
              <w:t>1</w:t>
            </w:r>
          </w:p>
        </w:tc>
      </w:tr>
      <w:tr w:rsidR="00D4356A" w:rsidRPr="00D4356A" w:rsidTr="00950F4E">
        <w:trPr>
          <w:trHeight w:val="113"/>
        </w:trPr>
        <w:tc>
          <w:tcPr>
            <w:tcW w:w="3942" w:type="dxa"/>
            <w:shd w:val="clear" w:color="auto" w:fill="auto"/>
            <w:vAlign w:val="center"/>
          </w:tcPr>
          <w:p w:rsidR="00D4356A" w:rsidRPr="00D4356A" w:rsidRDefault="00D4356A" w:rsidP="00950F4E">
            <w:pPr>
              <w:pStyle w:val="fs-4"/>
              <w:rPr>
                <w:sz w:val="20"/>
                <w:szCs w:val="20"/>
              </w:rPr>
            </w:pPr>
            <w:r w:rsidRPr="00D4356A">
              <w:rPr>
                <w:sz w:val="20"/>
                <w:szCs w:val="20"/>
              </w:rPr>
              <w:t>Короткострокові кредити банків</w:t>
            </w:r>
          </w:p>
        </w:tc>
        <w:tc>
          <w:tcPr>
            <w:tcW w:w="1420" w:type="dxa"/>
            <w:shd w:val="clear" w:color="auto" w:fill="auto"/>
            <w:vAlign w:val="center"/>
          </w:tcPr>
          <w:p w:rsidR="00D4356A" w:rsidRPr="00D4356A" w:rsidRDefault="00D4356A" w:rsidP="00950F4E">
            <w:pPr>
              <w:pStyle w:val="fs-4"/>
              <w:jc w:val="right"/>
              <w:rPr>
                <w:sz w:val="20"/>
                <w:szCs w:val="20"/>
              </w:rPr>
            </w:pPr>
            <w:r w:rsidRPr="00D4356A">
              <w:rPr>
                <w:sz w:val="20"/>
                <w:szCs w:val="20"/>
              </w:rPr>
              <w:t>(42 019)</w:t>
            </w:r>
          </w:p>
        </w:tc>
        <w:tc>
          <w:tcPr>
            <w:tcW w:w="1420" w:type="dxa"/>
            <w:shd w:val="clear" w:color="auto" w:fill="auto"/>
            <w:vAlign w:val="center"/>
          </w:tcPr>
          <w:p w:rsidR="00D4356A" w:rsidRPr="00D4356A" w:rsidRDefault="00D4356A" w:rsidP="00950F4E">
            <w:pPr>
              <w:pStyle w:val="fs-4"/>
              <w:jc w:val="right"/>
              <w:rPr>
                <w:sz w:val="20"/>
                <w:szCs w:val="20"/>
              </w:rPr>
            </w:pPr>
            <w:r w:rsidRPr="00D4356A">
              <w:rPr>
                <w:sz w:val="20"/>
                <w:szCs w:val="20"/>
              </w:rPr>
              <w:t>(40</w:t>
            </w:r>
            <w:r w:rsidRPr="00D4356A">
              <w:rPr>
                <w:sz w:val="20"/>
                <w:szCs w:val="20"/>
                <w:lang w:val="en-US"/>
              </w:rPr>
              <w:t xml:space="preserve"> 455</w:t>
            </w:r>
            <w:r w:rsidRPr="00D4356A">
              <w:rPr>
                <w:sz w:val="20"/>
                <w:szCs w:val="20"/>
              </w:rPr>
              <w:t>)</w:t>
            </w:r>
          </w:p>
        </w:tc>
        <w:tc>
          <w:tcPr>
            <w:tcW w:w="1420" w:type="dxa"/>
            <w:vAlign w:val="center"/>
          </w:tcPr>
          <w:p w:rsidR="00D4356A" w:rsidRPr="00D4356A" w:rsidRDefault="00D4356A" w:rsidP="00950F4E">
            <w:pPr>
              <w:pStyle w:val="fs-4"/>
              <w:jc w:val="right"/>
              <w:rPr>
                <w:sz w:val="20"/>
                <w:szCs w:val="20"/>
                <w:lang w:val="en-US"/>
              </w:rPr>
            </w:pPr>
            <w:r w:rsidRPr="00D4356A">
              <w:rPr>
                <w:sz w:val="20"/>
                <w:szCs w:val="20"/>
                <w:lang w:val="en-US"/>
              </w:rPr>
              <w:t>-</w:t>
            </w:r>
          </w:p>
        </w:tc>
        <w:tc>
          <w:tcPr>
            <w:tcW w:w="1420" w:type="dxa"/>
            <w:shd w:val="clear" w:color="auto" w:fill="auto"/>
            <w:vAlign w:val="center"/>
          </w:tcPr>
          <w:p w:rsidR="00D4356A" w:rsidRPr="00D4356A" w:rsidRDefault="00D4356A" w:rsidP="00950F4E">
            <w:pPr>
              <w:pStyle w:val="fs-4"/>
              <w:jc w:val="right"/>
              <w:rPr>
                <w:sz w:val="20"/>
                <w:szCs w:val="20"/>
                <w:lang w:val="en-US"/>
              </w:rPr>
            </w:pPr>
            <w:r w:rsidRPr="00D4356A">
              <w:rPr>
                <w:sz w:val="20"/>
                <w:szCs w:val="20"/>
                <w:lang w:val="en-US"/>
              </w:rPr>
              <w:t>-</w:t>
            </w:r>
          </w:p>
        </w:tc>
      </w:tr>
      <w:tr w:rsidR="00D4356A" w:rsidRPr="00D4356A" w:rsidTr="00950F4E">
        <w:trPr>
          <w:trHeight w:val="113"/>
        </w:trPr>
        <w:tc>
          <w:tcPr>
            <w:tcW w:w="3942" w:type="dxa"/>
            <w:shd w:val="clear" w:color="auto" w:fill="auto"/>
            <w:vAlign w:val="center"/>
          </w:tcPr>
          <w:p w:rsidR="00D4356A" w:rsidRPr="00D4356A" w:rsidRDefault="00D4356A" w:rsidP="00950F4E">
            <w:pPr>
              <w:pStyle w:val="fs-4"/>
              <w:rPr>
                <w:sz w:val="20"/>
                <w:szCs w:val="20"/>
              </w:rPr>
            </w:pPr>
            <w:r w:rsidRPr="00D4356A">
              <w:rPr>
                <w:sz w:val="20"/>
                <w:szCs w:val="20"/>
              </w:rPr>
              <w:t>Поточна кредиторська заборгованість за товари, роботи, послуги</w:t>
            </w:r>
          </w:p>
        </w:tc>
        <w:tc>
          <w:tcPr>
            <w:tcW w:w="1420" w:type="dxa"/>
            <w:shd w:val="clear" w:color="auto" w:fill="auto"/>
            <w:vAlign w:val="center"/>
          </w:tcPr>
          <w:p w:rsidR="00D4356A" w:rsidRPr="00D4356A" w:rsidRDefault="00D4356A" w:rsidP="00950F4E">
            <w:pPr>
              <w:pStyle w:val="fs-4"/>
              <w:jc w:val="right"/>
              <w:rPr>
                <w:sz w:val="20"/>
                <w:szCs w:val="20"/>
                <w:lang w:val="en-US"/>
              </w:rPr>
            </w:pPr>
            <w:r w:rsidRPr="00D4356A">
              <w:rPr>
                <w:sz w:val="20"/>
                <w:szCs w:val="20"/>
                <w:lang w:val="en-US"/>
              </w:rPr>
              <w:t>-</w:t>
            </w:r>
          </w:p>
        </w:tc>
        <w:tc>
          <w:tcPr>
            <w:tcW w:w="1420" w:type="dxa"/>
            <w:shd w:val="clear" w:color="auto" w:fill="auto"/>
            <w:vAlign w:val="center"/>
          </w:tcPr>
          <w:p w:rsidR="00D4356A" w:rsidRPr="00D4356A" w:rsidRDefault="00D4356A" w:rsidP="00950F4E">
            <w:pPr>
              <w:pStyle w:val="fs-4"/>
              <w:jc w:val="right"/>
              <w:rPr>
                <w:sz w:val="20"/>
                <w:szCs w:val="20"/>
                <w:lang w:val="en-US"/>
              </w:rPr>
            </w:pPr>
            <w:r w:rsidRPr="00D4356A">
              <w:rPr>
                <w:sz w:val="20"/>
                <w:szCs w:val="20"/>
                <w:lang w:val="en-US"/>
              </w:rPr>
              <w:t>-</w:t>
            </w:r>
          </w:p>
        </w:tc>
        <w:tc>
          <w:tcPr>
            <w:tcW w:w="1420" w:type="dxa"/>
            <w:vAlign w:val="center"/>
          </w:tcPr>
          <w:p w:rsidR="00D4356A" w:rsidRPr="00D4356A" w:rsidRDefault="00D4356A" w:rsidP="00950F4E">
            <w:pPr>
              <w:pStyle w:val="fs-4"/>
              <w:jc w:val="right"/>
              <w:rPr>
                <w:sz w:val="20"/>
                <w:szCs w:val="20"/>
                <w:lang w:val="en-US"/>
              </w:rPr>
            </w:pPr>
            <w:r w:rsidRPr="00D4356A">
              <w:rPr>
                <w:sz w:val="20"/>
                <w:szCs w:val="20"/>
                <w:lang w:val="en-US"/>
              </w:rPr>
              <w:t>-</w:t>
            </w:r>
          </w:p>
        </w:tc>
        <w:tc>
          <w:tcPr>
            <w:tcW w:w="1420" w:type="dxa"/>
            <w:shd w:val="clear" w:color="auto" w:fill="auto"/>
            <w:vAlign w:val="center"/>
          </w:tcPr>
          <w:p w:rsidR="00D4356A" w:rsidRPr="00D4356A" w:rsidRDefault="00D4356A" w:rsidP="00950F4E">
            <w:pPr>
              <w:pStyle w:val="fs-4"/>
              <w:jc w:val="right"/>
              <w:rPr>
                <w:sz w:val="20"/>
                <w:szCs w:val="20"/>
              </w:rPr>
            </w:pPr>
            <w:r w:rsidRPr="00D4356A">
              <w:rPr>
                <w:sz w:val="20"/>
                <w:szCs w:val="20"/>
              </w:rPr>
              <w:t>(</w:t>
            </w:r>
            <w:r w:rsidRPr="00D4356A">
              <w:rPr>
                <w:sz w:val="20"/>
                <w:szCs w:val="20"/>
                <w:lang w:val="en-US"/>
              </w:rPr>
              <w:t>57</w:t>
            </w:r>
            <w:r w:rsidRPr="00D4356A">
              <w:rPr>
                <w:sz w:val="20"/>
                <w:szCs w:val="20"/>
              </w:rPr>
              <w:t>)</w:t>
            </w:r>
          </w:p>
        </w:tc>
      </w:tr>
      <w:tr w:rsidR="00D4356A" w:rsidRPr="00D4356A" w:rsidTr="00950F4E">
        <w:trPr>
          <w:trHeight w:val="113"/>
        </w:trPr>
        <w:tc>
          <w:tcPr>
            <w:tcW w:w="3942" w:type="dxa"/>
            <w:tcBorders>
              <w:bottom w:val="single" w:sz="4" w:space="0" w:color="auto"/>
            </w:tcBorders>
            <w:shd w:val="clear" w:color="auto" w:fill="auto"/>
            <w:vAlign w:val="center"/>
          </w:tcPr>
          <w:p w:rsidR="00D4356A" w:rsidRPr="00D4356A" w:rsidRDefault="00D4356A" w:rsidP="00950F4E">
            <w:pPr>
              <w:pStyle w:val="fs-4"/>
              <w:rPr>
                <w:sz w:val="20"/>
                <w:szCs w:val="20"/>
              </w:rPr>
            </w:pPr>
            <w:r w:rsidRPr="00D4356A">
              <w:rPr>
                <w:sz w:val="20"/>
                <w:szCs w:val="20"/>
              </w:rPr>
              <w:t>Інші поточні зобов</w:t>
            </w:r>
            <w:r w:rsidRPr="00D4356A">
              <w:rPr>
                <w:sz w:val="20"/>
                <w:szCs w:val="20"/>
                <w:lang w:val="en-US"/>
              </w:rPr>
              <w:t>’</w:t>
            </w:r>
            <w:r w:rsidRPr="00D4356A">
              <w:rPr>
                <w:sz w:val="20"/>
                <w:szCs w:val="20"/>
              </w:rPr>
              <w:t>язання</w:t>
            </w:r>
          </w:p>
        </w:tc>
        <w:tc>
          <w:tcPr>
            <w:tcW w:w="1420" w:type="dxa"/>
            <w:tcBorders>
              <w:bottom w:val="single" w:sz="4" w:space="0" w:color="auto"/>
            </w:tcBorders>
            <w:shd w:val="clear" w:color="auto" w:fill="auto"/>
            <w:vAlign w:val="center"/>
          </w:tcPr>
          <w:p w:rsidR="00D4356A" w:rsidRPr="00D4356A" w:rsidRDefault="00D4356A" w:rsidP="00950F4E">
            <w:pPr>
              <w:pStyle w:val="fs-4"/>
              <w:jc w:val="right"/>
              <w:rPr>
                <w:sz w:val="20"/>
                <w:szCs w:val="20"/>
                <w:lang w:val="en-US"/>
              </w:rPr>
            </w:pPr>
            <w:r w:rsidRPr="00D4356A">
              <w:rPr>
                <w:sz w:val="20"/>
                <w:szCs w:val="20"/>
                <w:lang w:val="en-US"/>
              </w:rPr>
              <w:t>(28 088)</w:t>
            </w:r>
          </w:p>
        </w:tc>
        <w:tc>
          <w:tcPr>
            <w:tcW w:w="1420" w:type="dxa"/>
            <w:tcBorders>
              <w:bottom w:val="single" w:sz="4" w:space="0" w:color="auto"/>
            </w:tcBorders>
            <w:shd w:val="clear" w:color="auto" w:fill="auto"/>
            <w:vAlign w:val="center"/>
          </w:tcPr>
          <w:p w:rsidR="00D4356A" w:rsidRPr="00D4356A" w:rsidRDefault="00D4356A" w:rsidP="00950F4E">
            <w:pPr>
              <w:pStyle w:val="fs-4"/>
              <w:jc w:val="right"/>
              <w:rPr>
                <w:sz w:val="20"/>
                <w:szCs w:val="20"/>
              </w:rPr>
            </w:pPr>
            <w:r w:rsidRPr="00D4356A">
              <w:rPr>
                <w:sz w:val="20"/>
                <w:szCs w:val="20"/>
                <w:lang w:val="en-US"/>
              </w:rPr>
              <w:t>(25 771)</w:t>
            </w:r>
          </w:p>
        </w:tc>
        <w:tc>
          <w:tcPr>
            <w:tcW w:w="1420" w:type="dxa"/>
            <w:tcBorders>
              <w:bottom w:val="single" w:sz="4" w:space="0" w:color="auto"/>
            </w:tcBorders>
            <w:vAlign w:val="center"/>
          </w:tcPr>
          <w:p w:rsidR="00D4356A" w:rsidRPr="00D4356A" w:rsidRDefault="00D4356A" w:rsidP="00950F4E">
            <w:pPr>
              <w:pStyle w:val="fs-4"/>
              <w:jc w:val="right"/>
              <w:rPr>
                <w:sz w:val="20"/>
                <w:szCs w:val="20"/>
                <w:lang w:val="en-US"/>
              </w:rPr>
            </w:pPr>
            <w:r w:rsidRPr="00D4356A">
              <w:rPr>
                <w:sz w:val="20"/>
                <w:szCs w:val="20"/>
                <w:lang w:val="en-US"/>
              </w:rPr>
              <w:t>-</w:t>
            </w:r>
          </w:p>
        </w:tc>
        <w:tc>
          <w:tcPr>
            <w:tcW w:w="1420" w:type="dxa"/>
            <w:tcBorders>
              <w:bottom w:val="single" w:sz="4" w:space="0" w:color="auto"/>
            </w:tcBorders>
            <w:shd w:val="clear" w:color="auto" w:fill="auto"/>
            <w:vAlign w:val="center"/>
          </w:tcPr>
          <w:p w:rsidR="00D4356A" w:rsidRPr="00D4356A" w:rsidRDefault="00D4356A" w:rsidP="00950F4E">
            <w:pPr>
              <w:pStyle w:val="fs-4"/>
              <w:jc w:val="right"/>
              <w:rPr>
                <w:sz w:val="20"/>
                <w:szCs w:val="20"/>
                <w:lang w:val="en-US"/>
              </w:rPr>
            </w:pPr>
            <w:r w:rsidRPr="00D4356A">
              <w:rPr>
                <w:sz w:val="20"/>
                <w:szCs w:val="20"/>
                <w:lang w:val="en-US"/>
              </w:rPr>
              <w:t>-</w:t>
            </w:r>
          </w:p>
        </w:tc>
      </w:tr>
      <w:tr w:rsidR="00D4356A" w:rsidRPr="00D4356A" w:rsidTr="00950F4E">
        <w:trPr>
          <w:trHeight w:val="113"/>
        </w:trPr>
        <w:tc>
          <w:tcPr>
            <w:tcW w:w="3942" w:type="dxa"/>
            <w:tcBorders>
              <w:top w:val="single" w:sz="4" w:space="0" w:color="auto"/>
              <w:bottom w:val="single" w:sz="4" w:space="0" w:color="auto"/>
            </w:tcBorders>
            <w:shd w:val="clear" w:color="auto" w:fill="auto"/>
            <w:vAlign w:val="center"/>
          </w:tcPr>
          <w:p w:rsidR="00D4356A" w:rsidRPr="00D4356A" w:rsidRDefault="00D4356A" w:rsidP="00950F4E">
            <w:pPr>
              <w:pStyle w:val="fs-4"/>
              <w:rPr>
                <w:b/>
                <w:bCs/>
                <w:color w:val="000000" w:themeColor="text1"/>
                <w:sz w:val="20"/>
                <w:szCs w:val="20"/>
                <w:lang w:eastAsia="en-US"/>
              </w:rPr>
            </w:pPr>
            <w:r w:rsidRPr="00D4356A">
              <w:rPr>
                <w:b/>
                <w:bCs/>
                <w:color w:val="000000" w:themeColor="text1"/>
                <w:sz w:val="20"/>
                <w:szCs w:val="20"/>
                <w:lang w:eastAsia="en-US"/>
              </w:rPr>
              <w:t>Чиста довга (коротка) валютна позиція</w:t>
            </w:r>
          </w:p>
        </w:tc>
        <w:tc>
          <w:tcPr>
            <w:tcW w:w="1420" w:type="dxa"/>
            <w:tcBorders>
              <w:top w:val="single" w:sz="4" w:space="0" w:color="auto"/>
              <w:bottom w:val="single" w:sz="4" w:space="0" w:color="auto"/>
            </w:tcBorders>
            <w:shd w:val="clear" w:color="auto" w:fill="auto"/>
            <w:vAlign w:val="center"/>
          </w:tcPr>
          <w:p w:rsidR="00D4356A" w:rsidRPr="00D4356A" w:rsidRDefault="00D4356A" w:rsidP="00950F4E">
            <w:pPr>
              <w:pStyle w:val="fs-4"/>
              <w:jc w:val="right"/>
              <w:rPr>
                <w:b/>
                <w:bCs/>
                <w:sz w:val="20"/>
                <w:szCs w:val="20"/>
              </w:rPr>
            </w:pPr>
            <w:r w:rsidRPr="00D4356A">
              <w:rPr>
                <w:b/>
                <w:bCs/>
                <w:sz w:val="20"/>
                <w:szCs w:val="20"/>
                <w:lang w:val="en-US"/>
              </w:rPr>
              <w:t>(69 936</w:t>
            </w:r>
            <w:r w:rsidRPr="00D4356A">
              <w:rPr>
                <w:b/>
                <w:bCs/>
                <w:sz w:val="20"/>
                <w:szCs w:val="20"/>
              </w:rPr>
              <w:t>)</w:t>
            </w:r>
          </w:p>
        </w:tc>
        <w:tc>
          <w:tcPr>
            <w:tcW w:w="1420" w:type="dxa"/>
            <w:tcBorders>
              <w:top w:val="single" w:sz="4" w:space="0" w:color="auto"/>
              <w:bottom w:val="single" w:sz="4" w:space="0" w:color="auto"/>
            </w:tcBorders>
            <w:shd w:val="clear" w:color="auto" w:fill="auto"/>
            <w:vAlign w:val="center"/>
          </w:tcPr>
          <w:p w:rsidR="00D4356A" w:rsidRPr="00D4356A" w:rsidRDefault="00D4356A" w:rsidP="00950F4E">
            <w:pPr>
              <w:pStyle w:val="fs-4"/>
              <w:jc w:val="right"/>
              <w:rPr>
                <w:b/>
                <w:bCs/>
                <w:sz w:val="20"/>
                <w:szCs w:val="20"/>
                <w:lang w:val="en-US"/>
              </w:rPr>
            </w:pPr>
            <w:r w:rsidRPr="00D4356A">
              <w:rPr>
                <w:b/>
                <w:bCs/>
                <w:sz w:val="20"/>
                <w:szCs w:val="20"/>
                <w:lang w:val="en-US"/>
              </w:rPr>
              <w:t>(66 226)</w:t>
            </w:r>
          </w:p>
        </w:tc>
        <w:tc>
          <w:tcPr>
            <w:tcW w:w="1420" w:type="dxa"/>
            <w:tcBorders>
              <w:top w:val="single" w:sz="4" w:space="0" w:color="auto"/>
              <w:bottom w:val="single" w:sz="4" w:space="0" w:color="auto"/>
            </w:tcBorders>
            <w:vAlign w:val="center"/>
          </w:tcPr>
          <w:p w:rsidR="00D4356A" w:rsidRPr="00D4356A" w:rsidRDefault="00D4356A" w:rsidP="00950F4E">
            <w:pPr>
              <w:pStyle w:val="fs-4"/>
              <w:jc w:val="right"/>
              <w:rPr>
                <w:b/>
                <w:bCs/>
                <w:sz w:val="20"/>
                <w:szCs w:val="20"/>
                <w:lang w:val="en-US"/>
              </w:rPr>
            </w:pPr>
            <w:r w:rsidRPr="00D4356A">
              <w:rPr>
                <w:b/>
                <w:bCs/>
                <w:sz w:val="20"/>
                <w:szCs w:val="20"/>
                <w:lang w:val="en-US"/>
              </w:rPr>
              <w:t>1</w:t>
            </w:r>
          </w:p>
        </w:tc>
        <w:tc>
          <w:tcPr>
            <w:tcW w:w="1420" w:type="dxa"/>
            <w:tcBorders>
              <w:top w:val="single" w:sz="4" w:space="0" w:color="auto"/>
              <w:bottom w:val="single" w:sz="4" w:space="0" w:color="auto"/>
            </w:tcBorders>
            <w:shd w:val="clear" w:color="auto" w:fill="auto"/>
            <w:vAlign w:val="center"/>
          </w:tcPr>
          <w:p w:rsidR="00D4356A" w:rsidRPr="00D4356A" w:rsidRDefault="00D4356A" w:rsidP="00950F4E">
            <w:pPr>
              <w:pStyle w:val="fs-4"/>
              <w:jc w:val="right"/>
              <w:rPr>
                <w:b/>
                <w:bCs/>
                <w:sz w:val="20"/>
                <w:szCs w:val="20"/>
                <w:lang w:val="en-US"/>
              </w:rPr>
            </w:pPr>
            <w:r w:rsidRPr="00D4356A">
              <w:rPr>
                <w:b/>
                <w:bCs/>
                <w:sz w:val="20"/>
                <w:szCs w:val="20"/>
                <w:lang w:val="en-US"/>
              </w:rPr>
              <w:t>(56)</w:t>
            </w:r>
          </w:p>
        </w:tc>
      </w:tr>
    </w:tbl>
    <w:p w:rsidR="00D4356A" w:rsidRPr="00D4356A" w:rsidRDefault="00D4356A" w:rsidP="00D4356A">
      <w:pPr>
        <w:pStyle w:val="fs-0"/>
        <w:rPr>
          <w:szCs w:val="20"/>
        </w:rPr>
      </w:pPr>
      <w:r w:rsidRPr="00D4356A">
        <w:rPr>
          <w:szCs w:val="20"/>
        </w:rPr>
        <w:t>У таблиці нижче розкривається інформація про чутливість фінансового результату та власного капіталу до оподаткування до достатньо можливих змін у курсах обміну валют, які застосовувались на звітну дату, за умови, що всі інші змінні величини залишались незмінними.</w:t>
      </w:r>
    </w:p>
    <w:p w:rsidR="00D4356A" w:rsidRPr="00D4356A" w:rsidRDefault="00D4356A" w:rsidP="00D4356A">
      <w:pPr>
        <w:pStyle w:val="fs-0"/>
        <w:keepNext/>
        <w:rPr>
          <w:szCs w:val="20"/>
        </w:rPr>
      </w:pPr>
      <w:r w:rsidRPr="00D4356A">
        <w:rPr>
          <w:szCs w:val="20"/>
        </w:rPr>
        <w:t>Ризик розраховувався лише для монетарних залишків, деномінованих у іноземних валютах, а не у функціональній валюті Компанії.</w:t>
      </w:r>
    </w:p>
    <w:tbl>
      <w:tblPr>
        <w:tblW w:w="5000" w:type="pct"/>
        <w:tblLook w:val="01E0" w:firstRow="1" w:lastRow="1" w:firstColumn="1" w:lastColumn="1" w:noHBand="0" w:noVBand="0"/>
      </w:tblPr>
      <w:tblGrid>
        <w:gridCol w:w="3853"/>
        <w:gridCol w:w="2750"/>
        <w:gridCol w:w="2752"/>
      </w:tblGrid>
      <w:tr w:rsidR="00D4356A" w:rsidRPr="00D4356A" w:rsidTr="00950F4E">
        <w:trPr>
          <w:trHeight w:val="20"/>
        </w:trPr>
        <w:tc>
          <w:tcPr>
            <w:tcW w:w="2059" w:type="pct"/>
            <w:tcBorders>
              <w:bottom w:val="single" w:sz="4" w:space="0" w:color="auto"/>
            </w:tcBorders>
            <w:shd w:val="clear" w:color="auto" w:fill="auto"/>
            <w:vAlign w:val="bottom"/>
          </w:tcPr>
          <w:p w:rsidR="00D4356A" w:rsidRPr="00D4356A" w:rsidRDefault="00D4356A" w:rsidP="00950F4E">
            <w:pPr>
              <w:pStyle w:val="fs-4"/>
              <w:jc w:val="left"/>
              <w:rPr>
                <w:b/>
                <w:iCs/>
                <w:sz w:val="20"/>
                <w:szCs w:val="20"/>
              </w:rPr>
            </w:pPr>
            <w:r w:rsidRPr="00D4356A">
              <w:rPr>
                <w:rFonts w:eastAsia="Times New Roman"/>
                <w:iCs/>
                <w:color w:val="000000"/>
                <w:sz w:val="20"/>
                <w:szCs w:val="20"/>
                <w:lang w:eastAsia="en-US"/>
              </w:rPr>
              <w:t> </w:t>
            </w:r>
          </w:p>
        </w:tc>
        <w:tc>
          <w:tcPr>
            <w:tcW w:w="1470" w:type="pct"/>
            <w:tcBorders>
              <w:bottom w:val="single" w:sz="4" w:space="0" w:color="auto"/>
            </w:tcBorders>
            <w:shd w:val="clear" w:color="auto" w:fill="auto"/>
            <w:vAlign w:val="center"/>
          </w:tcPr>
          <w:p w:rsidR="00D4356A" w:rsidRPr="00D4356A" w:rsidRDefault="00D4356A" w:rsidP="00950F4E">
            <w:pPr>
              <w:pStyle w:val="fs-4"/>
              <w:jc w:val="center"/>
              <w:rPr>
                <w:b/>
                <w:iCs/>
                <w:sz w:val="20"/>
                <w:szCs w:val="20"/>
              </w:rPr>
            </w:pPr>
            <w:r w:rsidRPr="00D4356A">
              <w:rPr>
                <w:b/>
                <w:iCs/>
                <w:sz w:val="20"/>
                <w:szCs w:val="20"/>
              </w:rPr>
              <w:t>Вплив на прибуток чи збиток та власний капітал на</w:t>
            </w:r>
            <w:r w:rsidRPr="00D4356A">
              <w:rPr>
                <w:b/>
                <w:iCs/>
                <w:sz w:val="20"/>
                <w:szCs w:val="20"/>
              </w:rPr>
              <w:br/>
              <w:t>31 грудня 2023року</w:t>
            </w:r>
          </w:p>
        </w:tc>
        <w:tc>
          <w:tcPr>
            <w:tcW w:w="1471" w:type="pct"/>
            <w:tcBorders>
              <w:bottom w:val="single" w:sz="4" w:space="0" w:color="auto"/>
            </w:tcBorders>
            <w:shd w:val="clear" w:color="auto" w:fill="auto"/>
            <w:vAlign w:val="center"/>
          </w:tcPr>
          <w:p w:rsidR="00D4356A" w:rsidRPr="00D4356A" w:rsidRDefault="00D4356A" w:rsidP="00950F4E">
            <w:pPr>
              <w:pStyle w:val="fs-4"/>
              <w:jc w:val="center"/>
              <w:rPr>
                <w:b/>
                <w:iCs/>
                <w:sz w:val="20"/>
                <w:szCs w:val="20"/>
              </w:rPr>
            </w:pPr>
            <w:r w:rsidRPr="00D4356A">
              <w:rPr>
                <w:b/>
                <w:iCs/>
                <w:sz w:val="20"/>
                <w:szCs w:val="20"/>
              </w:rPr>
              <w:t>Вплив на прибуток чи збиток та власний капітал на</w:t>
            </w:r>
            <w:r w:rsidRPr="00D4356A">
              <w:rPr>
                <w:b/>
                <w:iCs/>
                <w:sz w:val="20"/>
                <w:szCs w:val="20"/>
              </w:rPr>
              <w:br/>
              <w:t>31 грудня 2022 року</w:t>
            </w:r>
          </w:p>
        </w:tc>
      </w:tr>
      <w:tr w:rsidR="00D4356A" w:rsidRPr="00D4356A" w:rsidTr="00950F4E">
        <w:trPr>
          <w:trHeight w:val="20"/>
        </w:trPr>
        <w:tc>
          <w:tcPr>
            <w:tcW w:w="2059" w:type="pct"/>
            <w:tcBorders>
              <w:top w:val="single" w:sz="4" w:space="0" w:color="auto"/>
            </w:tcBorders>
            <w:shd w:val="clear" w:color="auto" w:fill="auto"/>
            <w:vAlign w:val="center"/>
          </w:tcPr>
          <w:p w:rsidR="00D4356A" w:rsidRPr="00D4356A" w:rsidRDefault="00D4356A" w:rsidP="00950F4E">
            <w:pPr>
              <w:pStyle w:val="fs-4"/>
              <w:jc w:val="left"/>
              <w:rPr>
                <w:iCs/>
                <w:sz w:val="20"/>
                <w:szCs w:val="20"/>
              </w:rPr>
            </w:pPr>
            <w:r w:rsidRPr="00D4356A">
              <w:rPr>
                <w:iCs/>
                <w:sz w:val="20"/>
                <w:szCs w:val="20"/>
              </w:rPr>
              <w:t>Зміцнення долара США на 10%</w:t>
            </w:r>
          </w:p>
        </w:tc>
        <w:tc>
          <w:tcPr>
            <w:tcW w:w="1470" w:type="pct"/>
            <w:tcBorders>
              <w:top w:val="single" w:sz="4" w:space="0" w:color="auto"/>
            </w:tcBorders>
            <w:shd w:val="clear" w:color="auto" w:fill="auto"/>
            <w:vAlign w:val="center"/>
          </w:tcPr>
          <w:p w:rsidR="00D4356A" w:rsidRPr="00D4356A" w:rsidRDefault="00D4356A" w:rsidP="00950F4E">
            <w:pPr>
              <w:pStyle w:val="fs-4"/>
              <w:jc w:val="right"/>
              <w:rPr>
                <w:iCs/>
                <w:sz w:val="20"/>
                <w:szCs w:val="20"/>
                <w:lang w:val="en-US"/>
              </w:rPr>
            </w:pPr>
            <w:r w:rsidRPr="00D4356A">
              <w:rPr>
                <w:iCs/>
                <w:sz w:val="20"/>
                <w:szCs w:val="20"/>
                <w:lang w:val="en-US"/>
              </w:rPr>
              <w:t>6 994</w:t>
            </w:r>
          </w:p>
        </w:tc>
        <w:tc>
          <w:tcPr>
            <w:tcW w:w="1471" w:type="pct"/>
            <w:tcBorders>
              <w:top w:val="single" w:sz="4" w:space="0" w:color="auto"/>
            </w:tcBorders>
            <w:shd w:val="clear" w:color="auto" w:fill="auto"/>
            <w:vAlign w:val="center"/>
          </w:tcPr>
          <w:p w:rsidR="00D4356A" w:rsidRPr="00D4356A" w:rsidRDefault="00D4356A" w:rsidP="00950F4E">
            <w:pPr>
              <w:pStyle w:val="fs-4"/>
              <w:jc w:val="right"/>
              <w:rPr>
                <w:iCs/>
                <w:sz w:val="20"/>
                <w:szCs w:val="20"/>
                <w:lang w:val="en-US"/>
              </w:rPr>
            </w:pPr>
            <w:r w:rsidRPr="00D4356A">
              <w:rPr>
                <w:iCs/>
                <w:sz w:val="20"/>
                <w:szCs w:val="20"/>
                <w:lang w:val="en-US"/>
              </w:rPr>
              <w:t>6 623</w:t>
            </w:r>
          </w:p>
        </w:tc>
      </w:tr>
      <w:tr w:rsidR="00D4356A" w:rsidRPr="00D4356A" w:rsidTr="00950F4E">
        <w:trPr>
          <w:trHeight w:val="20"/>
        </w:trPr>
        <w:tc>
          <w:tcPr>
            <w:tcW w:w="2059" w:type="pct"/>
            <w:shd w:val="clear" w:color="auto" w:fill="auto"/>
            <w:vAlign w:val="center"/>
          </w:tcPr>
          <w:p w:rsidR="00D4356A" w:rsidRPr="00D4356A" w:rsidRDefault="00D4356A" w:rsidP="00950F4E">
            <w:pPr>
              <w:pStyle w:val="fs-4"/>
              <w:jc w:val="left"/>
              <w:rPr>
                <w:iCs/>
                <w:sz w:val="20"/>
                <w:szCs w:val="20"/>
              </w:rPr>
            </w:pPr>
            <w:r w:rsidRPr="00D4356A">
              <w:rPr>
                <w:iCs/>
                <w:sz w:val="20"/>
                <w:szCs w:val="20"/>
              </w:rPr>
              <w:t>Послаблення долара США на 10%</w:t>
            </w:r>
          </w:p>
        </w:tc>
        <w:tc>
          <w:tcPr>
            <w:tcW w:w="1470" w:type="pct"/>
            <w:shd w:val="clear" w:color="auto" w:fill="auto"/>
            <w:vAlign w:val="center"/>
          </w:tcPr>
          <w:p w:rsidR="00D4356A" w:rsidRPr="00D4356A" w:rsidRDefault="00D4356A" w:rsidP="00950F4E">
            <w:pPr>
              <w:pStyle w:val="fs-4"/>
              <w:jc w:val="right"/>
              <w:rPr>
                <w:iCs/>
                <w:sz w:val="20"/>
                <w:szCs w:val="20"/>
                <w:lang w:val="en-US"/>
              </w:rPr>
            </w:pPr>
            <w:r w:rsidRPr="00D4356A">
              <w:rPr>
                <w:iCs/>
                <w:sz w:val="20"/>
                <w:szCs w:val="20"/>
                <w:lang w:val="en-US"/>
              </w:rPr>
              <w:t>(6 994)</w:t>
            </w:r>
          </w:p>
        </w:tc>
        <w:tc>
          <w:tcPr>
            <w:tcW w:w="1471" w:type="pct"/>
            <w:shd w:val="clear" w:color="auto" w:fill="auto"/>
            <w:vAlign w:val="center"/>
          </w:tcPr>
          <w:p w:rsidR="00D4356A" w:rsidRPr="00D4356A" w:rsidRDefault="00D4356A" w:rsidP="00950F4E">
            <w:pPr>
              <w:pStyle w:val="fs-4"/>
              <w:jc w:val="right"/>
              <w:rPr>
                <w:iCs/>
                <w:sz w:val="20"/>
                <w:szCs w:val="20"/>
              </w:rPr>
            </w:pPr>
            <w:r w:rsidRPr="00D4356A">
              <w:rPr>
                <w:iCs/>
                <w:sz w:val="20"/>
                <w:szCs w:val="20"/>
              </w:rPr>
              <w:t>(</w:t>
            </w:r>
            <w:r w:rsidRPr="00D4356A">
              <w:rPr>
                <w:iCs/>
                <w:sz w:val="20"/>
                <w:szCs w:val="20"/>
                <w:lang w:val="en-US"/>
              </w:rPr>
              <w:t>6 623</w:t>
            </w:r>
            <w:r w:rsidRPr="00D4356A">
              <w:rPr>
                <w:iCs/>
                <w:sz w:val="20"/>
                <w:szCs w:val="20"/>
              </w:rPr>
              <w:t>)</w:t>
            </w:r>
          </w:p>
        </w:tc>
      </w:tr>
      <w:tr w:rsidR="00D4356A" w:rsidRPr="00D4356A" w:rsidTr="00950F4E">
        <w:trPr>
          <w:trHeight w:val="20"/>
        </w:trPr>
        <w:tc>
          <w:tcPr>
            <w:tcW w:w="2059" w:type="pct"/>
            <w:shd w:val="clear" w:color="auto" w:fill="auto"/>
            <w:vAlign w:val="center"/>
          </w:tcPr>
          <w:p w:rsidR="00D4356A" w:rsidRPr="00D4356A" w:rsidRDefault="00D4356A" w:rsidP="00950F4E">
            <w:pPr>
              <w:pStyle w:val="fs-4"/>
              <w:jc w:val="left"/>
              <w:rPr>
                <w:iCs/>
                <w:sz w:val="20"/>
                <w:szCs w:val="20"/>
              </w:rPr>
            </w:pPr>
            <w:r w:rsidRPr="00D4356A">
              <w:rPr>
                <w:iCs/>
                <w:sz w:val="20"/>
                <w:szCs w:val="20"/>
              </w:rPr>
              <w:t>Зміцнення євро на 10%</w:t>
            </w:r>
          </w:p>
        </w:tc>
        <w:tc>
          <w:tcPr>
            <w:tcW w:w="1470" w:type="pct"/>
            <w:shd w:val="clear" w:color="auto" w:fill="auto"/>
            <w:vAlign w:val="center"/>
          </w:tcPr>
          <w:p w:rsidR="00D4356A" w:rsidRPr="00D4356A" w:rsidRDefault="00D4356A" w:rsidP="00950F4E">
            <w:pPr>
              <w:pStyle w:val="fs-4"/>
              <w:jc w:val="right"/>
              <w:rPr>
                <w:rFonts w:eastAsia="Times New Roman"/>
                <w:bCs/>
                <w:iCs/>
                <w:color w:val="000000"/>
                <w:sz w:val="20"/>
                <w:szCs w:val="20"/>
                <w:lang w:val="en-US" w:eastAsia="en-US"/>
              </w:rPr>
            </w:pPr>
            <w:r w:rsidRPr="00D4356A">
              <w:rPr>
                <w:rFonts w:eastAsia="Times New Roman"/>
                <w:bCs/>
                <w:iCs/>
                <w:color w:val="000000"/>
                <w:sz w:val="20"/>
                <w:szCs w:val="20"/>
                <w:lang w:val="en-US" w:eastAsia="en-US"/>
              </w:rPr>
              <w:t>-</w:t>
            </w:r>
          </w:p>
        </w:tc>
        <w:tc>
          <w:tcPr>
            <w:tcW w:w="1471" w:type="pct"/>
            <w:shd w:val="clear" w:color="auto" w:fill="auto"/>
            <w:vAlign w:val="center"/>
          </w:tcPr>
          <w:p w:rsidR="00D4356A" w:rsidRPr="00D4356A" w:rsidRDefault="00D4356A" w:rsidP="00950F4E">
            <w:pPr>
              <w:pStyle w:val="fs-4"/>
              <w:jc w:val="right"/>
              <w:rPr>
                <w:rFonts w:eastAsia="Times New Roman"/>
                <w:bCs/>
                <w:iCs/>
                <w:color w:val="000000"/>
                <w:sz w:val="20"/>
                <w:szCs w:val="20"/>
                <w:lang w:val="en-US" w:eastAsia="en-US"/>
              </w:rPr>
            </w:pPr>
            <w:r w:rsidRPr="00D4356A">
              <w:rPr>
                <w:rFonts w:eastAsia="Times New Roman"/>
                <w:bCs/>
                <w:iCs/>
                <w:color w:val="000000"/>
                <w:sz w:val="20"/>
                <w:szCs w:val="20"/>
                <w:lang w:val="en-US" w:eastAsia="en-US"/>
              </w:rPr>
              <w:t>6</w:t>
            </w:r>
          </w:p>
        </w:tc>
      </w:tr>
      <w:tr w:rsidR="00D4356A" w:rsidRPr="00D4356A" w:rsidTr="00950F4E">
        <w:trPr>
          <w:trHeight w:val="20"/>
        </w:trPr>
        <w:tc>
          <w:tcPr>
            <w:tcW w:w="2059" w:type="pct"/>
            <w:tcBorders>
              <w:bottom w:val="single" w:sz="4" w:space="0" w:color="auto"/>
            </w:tcBorders>
            <w:shd w:val="clear" w:color="auto" w:fill="auto"/>
            <w:vAlign w:val="center"/>
          </w:tcPr>
          <w:p w:rsidR="00D4356A" w:rsidRPr="00D4356A" w:rsidRDefault="00D4356A" w:rsidP="00950F4E">
            <w:pPr>
              <w:pStyle w:val="fs-4"/>
              <w:jc w:val="left"/>
              <w:rPr>
                <w:iCs/>
                <w:sz w:val="20"/>
                <w:szCs w:val="20"/>
              </w:rPr>
            </w:pPr>
            <w:r w:rsidRPr="00D4356A">
              <w:rPr>
                <w:iCs/>
                <w:sz w:val="20"/>
                <w:szCs w:val="20"/>
              </w:rPr>
              <w:t>Послаблення євро на 10%</w:t>
            </w:r>
          </w:p>
        </w:tc>
        <w:tc>
          <w:tcPr>
            <w:tcW w:w="1470" w:type="pct"/>
            <w:tcBorders>
              <w:bottom w:val="single" w:sz="4" w:space="0" w:color="auto"/>
            </w:tcBorders>
            <w:shd w:val="clear" w:color="auto" w:fill="auto"/>
            <w:vAlign w:val="center"/>
          </w:tcPr>
          <w:p w:rsidR="00D4356A" w:rsidRPr="00D4356A" w:rsidRDefault="00D4356A" w:rsidP="00950F4E">
            <w:pPr>
              <w:pStyle w:val="fs-4"/>
              <w:jc w:val="right"/>
              <w:rPr>
                <w:rFonts w:eastAsia="Times New Roman"/>
                <w:bCs/>
                <w:iCs/>
                <w:color w:val="000000"/>
                <w:sz w:val="20"/>
                <w:szCs w:val="20"/>
                <w:lang w:val="en-US" w:eastAsia="en-US"/>
              </w:rPr>
            </w:pPr>
            <w:r w:rsidRPr="00D4356A">
              <w:rPr>
                <w:rFonts w:eastAsia="Times New Roman"/>
                <w:bCs/>
                <w:iCs/>
                <w:color w:val="000000"/>
                <w:sz w:val="20"/>
                <w:szCs w:val="20"/>
                <w:lang w:val="en-US" w:eastAsia="en-US"/>
              </w:rPr>
              <w:t>-</w:t>
            </w:r>
          </w:p>
        </w:tc>
        <w:tc>
          <w:tcPr>
            <w:tcW w:w="1471" w:type="pct"/>
            <w:tcBorders>
              <w:bottom w:val="single" w:sz="4" w:space="0" w:color="auto"/>
            </w:tcBorders>
            <w:shd w:val="clear" w:color="auto" w:fill="auto"/>
            <w:vAlign w:val="center"/>
          </w:tcPr>
          <w:p w:rsidR="00D4356A" w:rsidRPr="00D4356A" w:rsidRDefault="00D4356A" w:rsidP="00950F4E">
            <w:pPr>
              <w:pStyle w:val="fs-4"/>
              <w:jc w:val="right"/>
              <w:rPr>
                <w:rFonts w:eastAsia="Times New Roman"/>
                <w:bCs/>
                <w:iCs/>
                <w:color w:val="000000"/>
                <w:sz w:val="20"/>
                <w:szCs w:val="20"/>
                <w:lang w:eastAsia="en-US"/>
              </w:rPr>
            </w:pPr>
            <w:r w:rsidRPr="00D4356A">
              <w:rPr>
                <w:rFonts w:eastAsia="Times New Roman"/>
                <w:bCs/>
                <w:iCs/>
                <w:color w:val="000000"/>
                <w:sz w:val="20"/>
                <w:szCs w:val="20"/>
                <w:lang w:eastAsia="en-US"/>
              </w:rPr>
              <w:t>(</w:t>
            </w:r>
            <w:r w:rsidRPr="00D4356A">
              <w:rPr>
                <w:rFonts w:eastAsia="Times New Roman"/>
                <w:bCs/>
                <w:iCs/>
                <w:color w:val="000000"/>
                <w:sz w:val="20"/>
                <w:szCs w:val="20"/>
                <w:lang w:val="en-US" w:eastAsia="en-US"/>
              </w:rPr>
              <w:t>6</w:t>
            </w:r>
            <w:r w:rsidRPr="00D4356A">
              <w:rPr>
                <w:rFonts w:eastAsia="Times New Roman"/>
                <w:bCs/>
                <w:iCs/>
                <w:color w:val="000000"/>
                <w:sz w:val="20"/>
                <w:szCs w:val="20"/>
                <w:lang w:eastAsia="en-US"/>
              </w:rPr>
              <w:t>)</w:t>
            </w:r>
          </w:p>
        </w:tc>
      </w:tr>
    </w:tbl>
    <w:p w:rsidR="00D4356A" w:rsidRPr="00D4356A" w:rsidRDefault="00D4356A" w:rsidP="00D4356A">
      <w:pPr>
        <w:pStyle w:val="fs-0"/>
        <w:rPr>
          <w:szCs w:val="20"/>
        </w:rPr>
      </w:pPr>
      <w:r w:rsidRPr="00D4356A">
        <w:rPr>
          <w:szCs w:val="20"/>
        </w:rPr>
        <w:t>Компанія не має вкладень в іноземні компанії.</w:t>
      </w:r>
    </w:p>
    <w:p w:rsidR="00D4356A" w:rsidRPr="00D4356A" w:rsidRDefault="00D4356A" w:rsidP="00D4356A">
      <w:pPr>
        <w:pStyle w:val="fs-40"/>
        <w:rPr>
          <w:szCs w:val="20"/>
        </w:rPr>
      </w:pPr>
      <w:r w:rsidRPr="00D4356A">
        <w:rPr>
          <w:szCs w:val="20"/>
        </w:rPr>
        <w:t>Процентний ризик</w:t>
      </w:r>
    </w:p>
    <w:p w:rsidR="00D4356A" w:rsidRPr="00D4356A" w:rsidRDefault="00D4356A" w:rsidP="00D4356A">
      <w:pPr>
        <w:pStyle w:val="fs-0"/>
        <w:rPr>
          <w:szCs w:val="20"/>
        </w:rPr>
      </w:pPr>
      <w:r w:rsidRPr="00D4356A">
        <w:rPr>
          <w:szCs w:val="20"/>
        </w:rPr>
        <w:t>Процентний ризик – це ризик того, що справедлива вартість або майбутні грошові потоки від фінансового інструмента коливатимуться внаслідок змін ринкових відсоткових ставок. Керівництво Компанії усвідомлює, що відсоткові ставки можуть змінюватись і це може впливати як на доходи Компанії, так і на справедливу вартість чистих активів.</w:t>
      </w:r>
    </w:p>
    <w:p w:rsidR="00D4356A" w:rsidRPr="00D4356A" w:rsidRDefault="00D4356A" w:rsidP="00D4356A">
      <w:pPr>
        <w:pStyle w:val="fs-0"/>
        <w:rPr>
          <w:szCs w:val="20"/>
        </w:rPr>
      </w:pPr>
      <w:r w:rsidRPr="00D4356A">
        <w:rPr>
          <w:szCs w:val="20"/>
        </w:rPr>
        <w:t>Компанія у своїй діяльності користується кредитними коштами, за користування яких нараховуються та сплачуються відсотки. Процентні ставки за користування кредитними коштами Компанії є фіксованими, а тому цей ризик не є значним для Компанії.</w:t>
      </w:r>
    </w:p>
    <w:p w:rsidR="00D4356A" w:rsidRPr="00D4356A" w:rsidRDefault="00D4356A" w:rsidP="00D4356A">
      <w:pPr>
        <w:pStyle w:val="fs-40"/>
        <w:rPr>
          <w:szCs w:val="20"/>
        </w:rPr>
      </w:pPr>
      <w:r w:rsidRPr="00D4356A">
        <w:rPr>
          <w:szCs w:val="20"/>
        </w:rPr>
        <w:t>Інший ціновий ризик</w:t>
      </w:r>
    </w:p>
    <w:p w:rsidR="00D4356A" w:rsidRPr="00D4356A" w:rsidRDefault="00D4356A" w:rsidP="00D4356A">
      <w:pPr>
        <w:pStyle w:val="fs-0"/>
        <w:rPr>
          <w:szCs w:val="20"/>
        </w:rPr>
      </w:pPr>
      <w:r w:rsidRPr="00D4356A">
        <w:rPr>
          <w:szCs w:val="20"/>
        </w:rPr>
        <w:t xml:space="preserve">Інший ціновий ризик – це ризик того, що справедлива вартість або майбутні грошові потоки від фінансового інструмента коливатимуться внаслідок змін ринкових цін (окрім тих, що виникають унаслідок </w:t>
      </w:r>
      <w:r w:rsidRPr="00D4356A">
        <w:rPr>
          <w:bCs/>
          <w:szCs w:val="20"/>
        </w:rPr>
        <w:t xml:space="preserve">відсоткового ризику </w:t>
      </w:r>
      <w:r w:rsidRPr="00D4356A">
        <w:rPr>
          <w:szCs w:val="20"/>
        </w:rPr>
        <w:t xml:space="preserve">чи </w:t>
      </w:r>
      <w:r w:rsidRPr="00D4356A">
        <w:rPr>
          <w:bCs/>
          <w:szCs w:val="20"/>
        </w:rPr>
        <w:t>валютного ризику</w:t>
      </w:r>
      <w:r w:rsidRPr="00D4356A">
        <w:rPr>
          <w:szCs w:val="20"/>
        </w:rPr>
        <w:t>), незалежно від того, чи спричинені вони чинниками, характерними для окремого фінансового інструмента або його емітента, чи чинниками, що впливають на всі подібні фінансові інструменти, з якими здійснюються операції на ринку.</w:t>
      </w:r>
    </w:p>
    <w:p w:rsidR="00D4356A" w:rsidRPr="00D4356A" w:rsidRDefault="00D4356A" w:rsidP="00D4356A">
      <w:pPr>
        <w:pStyle w:val="fs-3"/>
        <w:rPr>
          <w:szCs w:val="20"/>
        </w:rPr>
      </w:pPr>
      <w:r w:rsidRPr="00D4356A">
        <w:rPr>
          <w:szCs w:val="20"/>
        </w:rPr>
        <w:t>Управління капіталом</w:t>
      </w:r>
    </w:p>
    <w:p w:rsidR="00D4356A" w:rsidRPr="00D4356A" w:rsidRDefault="00D4356A" w:rsidP="00D4356A">
      <w:pPr>
        <w:pStyle w:val="fs-0"/>
        <w:rPr>
          <w:szCs w:val="20"/>
        </w:rPr>
      </w:pPr>
      <w:r w:rsidRPr="00D4356A">
        <w:rPr>
          <w:szCs w:val="20"/>
        </w:rPr>
        <w:t>Компанія розглядає зареєстрований капітал і позики як основне джерело фінансування.</w:t>
      </w:r>
    </w:p>
    <w:p w:rsidR="00D4356A" w:rsidRPr="00D4356A" w:rsidRDefault="00D4356A" w:rsidP="00D4356A">
      <w:pPr>
        <w:pStyle w:val="fs-0"/>
        <w:rPr>
          <w:szCs w:val="20"/>
        </w:rPr>
      </w:pPr>
      <w:r w:rsidRPr="00D4356A">
        <w:rPr>
          <w:szCs w:val="20"/>
        </w:rPr>
        <w:t>Для цілей управління ризиком недостатності капіталу, Компанія визначає капітал як такий, що дорівнює визнаному в балансі (звіті про фінансовий стан).</w:t>
      </w:r>
    </w:p>
    <w:p w:rsidR="00D4356A" w:rsidRPr="00D4356A" w:rsidRDefault="00D4356A" w:rsidP="00D4356A">
      <w:pPr>
        <w:pStyle w:val="fs-0"/>
        <w:rPr>
          <w:szCs w:val="20"/>
        </w:rPr>
      </w:pPr>
      <w:r w:rsidRPr="00D4356A">
        <w:rPr>
          <w:szCs w:val="20"/>
        </w:rPr>
        <w:t>Основним завданням Компанії при управлінні капіталом є забезпечення здатності Компанії продовжувати функціонувати на безперервній основі з метою одержання прибутку для засновників і вигід для інших зацікавлених осіб, а також забезпечувати фінансування поточних операційних потреб, капітальних вкладень та стратегії розвитку Компанії.</w:t>
      </w:r>
    </w:p>
    <w:p w:rsidR="00D4356A" w:rsidRPr="00D4356A" w:rsidRDefault="00D4356A" w:rsidP="00D4356A">
      <w:pPr>
        <w:pStyle w:val="fs-0"/>
        <w:rPr>
          <w:szCs w:val="20"/>
        </w:rPr>
      </w:pPr>
      <w:r w:rsidRPr="00D4356A">
        <w:rPr>
          <w:szCs w:val="20"/>
        </w:rPr>
        <w:t>Керівництво постійно контролює структуру капіталу Компанії й може корегувати свою політику й цілі управління капіталом з урахуванням змін в операційному середовищі, тенденціях ринку або стратегії розвитку, тобто з урахуванням змін економічних умов. Протягом років, що закінчилися 31 грудня 2023 та 2022 років, цілі, політика та процедури Компанії не зазнали змін.</w:t>
      </w:r>
    </w:p>
    <w:p w:rsidR="00C81895" w:rsidRPr="00D4356A" w:rsidRDefault="00C81895" w:rsidP="00D24980">
      <w:pPr>
        <w:spacing w:before="120" w:line="276" w:lineRule="auto"/>
        <w:jc w:val="both"/>
        <w:rPr>
          <w:rFonts w:ascii="Arial" w:hAnsi="Arial" w:cs="Arial"/>
          <w:sz w:val="20"/>
          <w:szCs w:val="20"/>
        </w:rPr>
      </w:pPr>
    </w:p>
    <w:p w:rsidR="00C81895" w:rsidRPr="00D4356A" w:rsidRDefault="00C81895" w:rsidP="00D24980">
      <w:pPr>
        <w:spacing w:before="120" w:line="276" w:lineRule="auto"/>
        <w:jc w:val="both"/>
        <w:rPr>
          <w:rFonts w:ascii="Arial" w:hAnsi="Arial" w:cs="Arial"/>
          <w:sz w:val="20"/>
          <w:szCs w:val="20"/>
        </w:rPr>
      </w:pPr>
    </w:p>
    <w:p w:rsidR="00C81895" w:rsidRPr="00D4356A" w:rsidRDefault="00C81895" w:rsidP="00D24980">
      <w:pPr>
        <w:spacing w:before="120" w:line="276" w:lineRule="auto"/>
        <w:jc w:val="both"/>
        <w:rPr>
          <w:rFonts w:ascii="Arial" w:hAnsi="Arial" w:cs="Arial"/>
          <w:sz w:val="20"/>
          <w:szCs w:val="20"/>
        </w:rPr>
      </w:pPr>
    </w:p>
    <w:p w:rsidR="00C81895" w:rsidRPr="00D4356A" w:rsidRDefault="00C81895" w:rsidP="00D24980">
      <w:pPr>
        <w:spacing w:before="120" w:line="276" w:lineRule="auto"/>
        <w:jc w:val="both"/>
        <w:rPr>
          <w:rFonts w:ascii="Arial" w:hAnsi="Arial" w:cs="Arial"/>
          <w:sz w:val="20"/>
          <w:szCs w:val="20"/>
        </w:rPr>
      </w:pPr>
    </w:p>
    <w:p w:rsidR="00C81895" w:rsidRPr="00D4356A" w:rsidRDefault="00C81895" w:rsidP="00D24980">
      <w:pPr>
        <w:spacing w:before="120" w:line="276" w:lineRule="auto"/>
        <w:jc w:val="both"/>
        <w:rPr>
          <w:rFonts w:ascii="Arial" w:hAnsi="Arial" w:cs="Arial"/>
          <w:sz w:val="20"/>
          <w:szCs w:val="20"/>
        </w:rPr>
      </w:pPr>
      <w:r w:rsidRPr="00D4356A">
        <w:rPr>
          <w:rFonts w:ascii="Arial" w:hAnsi="Arial" w:cs="Arial"/>
          <w:sz w:val="20"/>
          <w:szCs w:val="20"/>
          <w:lang w:val="ru-RU"/>
        </w:rPr>
        <w:t xml:space="preserve">         </w:t>
      </w:r>
      <w:bookmarkStart w:id="5" w:name="_GoBack"/>
      <w:bookmarkEnd w:id="5"/>
      <w:r w:rsidRPr="00D4356A">
        <w:rPr>
          <w:rFonts w:ascii="Arial" w:hAnsi="Arial" w:cs="Arial"/>
          <w:sz w:val="20"/>
          <w:szCs w:val="20"/>
        </w:rPr>
        <w:t>Директор</w:t>
      </w:r>
      <w:r w:rsidR="002B4AD5" w:rsidRPr="00D4356A">
        <w:rPr>
          <w:rFonts w:ascii="Arial" w:hAnsi="Arial" w:cs="Arial"/>
          <w:sz w:val="20"/>
          <w:szCs w:val="20"/>
        </w:rPr>
        <w:t xml:space="preserve"> фінансовий</w:t>
      </w:r>
      <w:r w:rsidRPr="00D4356A">
        <w:rPr>
          <w:rFonts w:ascii="Arial" w:hAnsi="Arial" w:cs="Arial"/>
          <w:sz w:val="20"/>
          <w:szCs w:val="20"/>
        </w:rPr>
        <w:t xml:space="preserve">                        </w:t>
      </w:r>
      <w:r w:rsidR="002B4AD5" w:rsidRPr="00D4356A">
        <w:rPr>
          <w:rFonts w:ascii="Arial" w:hAnsi="Arial" w:cs="Arial"/>
          <w:sz w:val="20"/>
          <w:szCs w:val="20"/>
        </w:rPr>
        <w:t xml:space="preserve">                               А..М.Моісєєва</w:t>
      </w:r>
    </w:p>
    <w:p w:rsidR="00C81895" w:rsidRPr="00D4356A" w:rsidRDefault="00C81895" w:rsidP="00D24980">
      <w:pPr>
        <w:spacing w:before="120" w:line="276" w:lineRule="auto"/>
        <w:jc w:val="both"/>
        <w:rPr>
          <w:rFonts w:ascii="Arial" w:hAnsi="Arial" w:cs="Arial"/>
          <w:sz w:val="20"/>
          <w:szCs w:val="20"/>
        </w:rPr>
      </w:pPr>
    </w:p>
    <w:p w:rsidR="00C81895" w:rsidRPr="00D4356A" w:rsidRDefault="00C81895" w:rsidP="00D24980">
      <w:pPr>
        <w:spacing w:before="120" w:line="276" w:lineRule="auto"/>
        <w:jc w:val="both"/>
        <w:rPr>
          <w:rFonts w:ascii="Arial" w:hAnsi="Arial" w:cs="Arial"/>
          <w:sz w:val="20"/>
          <w:szCs w:val="20"/>
        </w:rPr>
      </w:pPr>
      <w:r w:rsidRPr="00D4356A">
        <w:rPr>
          <w:rFonts w:ascii="Arial" w:hAnsi="Arial" w:cs="Arial"/>
          <w:sz w:val="20"/>
          <w:szCs w:val="20"/>
        </w:rPr>
        <w:t xml:space="preserve">         Головний бухгалтер                                                              І.І.Будько</w:t>
      </w:r>
    </w:p>
    <w:sectPr w:rsidR="00C81895" w:rsidRPr="00D435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F69" w:rsidRDefault="00844F69" w:rsidP="00560888">
      <w:r>
        <w:separator/>
      </w:r>
    </w:p>
  </w:endnote>
  <w:endnote w:type="continuationSeparator" w:id="0">
    <w:p w:rsidR="00844F69" w:rsidRDefault="00844F69" w:rsidP="0056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F69" w:rsidRDefault="00844F69" w:rsidP="00560888">
      <w:r>
        <w:separator/>
      </w:r>
    </w:p>
  </w:footnote>
  <w:footnote w:type="continuationSeparator" w:id="0">
    <w:p w:rsidR="00844F69" w:rsidRDefault="00844F69" w:rsidP="00560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14021"/>
    <w:multiLevelType w:val="hybridMultilevel"/>
    <w:tmpl w:val="45ECF654"/>
    <w:lvl w:ilvl="0" w:tplc="71EE57CA">
      <w:start w:val="3"/>
      <w:numFmt w:val="bullet"/>
      <w:lvlText w:val="-"/>
      <w:lvlJc w:val="left"/>
      <w:pPr>
        <w:ind w:left="720" w:hanging="360"/>
      </w:pPr>
      <w:rPr>
        <w:rFonts w:ascii="Arial Unicode MS" w:eastAsia="Arial Unicode MS" w:hAnsi="Arial Unicode MS" w:cs="Arial Unicode MS"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187934"/>
    <w:multiLevelType w:val="multilevel"/>
    <w:tmpl w:val="A32EBBD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2D136BB2"/>
    <w:multiLevelType w:val="hybridMultilevel"/>
    <w:tmpl w:val="448288B4"/>
    <w:lvl w:ilvl="0" w:tplc="D3CE3E4C">
      <w:start w:val="1"/>
      <w:numFmt w:val="bullet"/>
      <w:pStyle w:val="a"/>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A40128"/>
    <w:multiLevelType w:val="hybridMultilevel"/>
    <w:tmpl w:val="65E457DE"/>
    <w:lvl w:ilvl="0" w:tplc="58FE6926">
      <w:start w:val="1"/>
      <w:numFmt w:val="bullet"/>
      <w:pStyle w:val="fs-"/>
      <w:lvlText w:val=""/>
      <w:lvlJc w:val="left"/>
      <w:pPr>
        <w:ind w:left="71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6E1B4B3A"/>
    <w:multiLevelType w:val="hybridMultilevel"/>
    <w:tmpl w:val="AF4C76C2"/>
    <w:lvl w:ilvl="0" w:tplc="0419000F">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BFC"/>
    <w:rsid w:val="0004445F"/>
    <w:rsid w:val="000A7203"/>
    <w:rsid w:val="000B6A66"/>
    <w:rsid w:val="000C058C"/>
    <w:rsid w:val="000E17BD"/>
    <w:rsid w:val="00172C0F"/>
    <w:rsid w:val="00176B1E"/>
    <w:rsid w:val="00184596"/>
    <w:rsid w:val="001901ED"/>
    <w:rsid w:val="001B63E6"/>
    <w:rsid w:val="002220A0"/>
    <w:rsid w:val="0022285A"/>
    <w:rsid w:val="00231EAF"/>
    <w:rsid w:val="00232F85"/>
    <w:rsid w:val="002548C4"/>
    <w:rsid w:val="00272106"/>
    <w:rsid w:val="002B4AD5"/>
    <w:rsid w:val="00300057"/>
    <w:rsid w:val="00313C55"/>
    <w:rsid w:val="00326856"/>
    <w:rsid w:val="00330223"/>
    <w:rsid w:val="0035303F"/>
    <w:rsid w:val="00376CA6"/>
    <w:rsid w:val="003777DB"/>
    <w:rsid w:val="00380844"/>
    <w:rsid w:val="00381F67"/>
    <w:rsid w:val="0039613A"/>
    <w:rsid w:val="003A7B15"/>
    <w:rsid w:val="003B4CEF"/>
    <w:rsid w:val="003C0D76"/>
    <w:rsid w:val="003C1D78"/>
    <w:rsid w:val="003F057D"/>
    <w:rsid w:val="00400EF2"/>
    <w:rsid w:val="004129C4"/>
    <w:rsid w:val="0043401D"/>
    <w:rsid w:val="00434ABC"/>
    <w:rsid w:val="00436D4D"/>
    <w:rsid w:val="00436F3C"/>
    <w:rsid w:val="004565D5"/>
    <w:rsid w:val="00462D05"/>
    <w:rsid w:val="00462E21"/>
    <w:rsid w:val="00473141"/>
    <w:rsid w:val="004870D4"/>
    <w:rsid w:val="004A6CAD"/>
    <w:rsid w:val="004C3014"/>
    <w:rsid w:val="004D1BFC"/>
    <w:rsid w:val="005076F8"/>
    <w:rsid w:val="00512F4B"/>
    <w:rsid w:val="0053179B"/>
    <w:rsid w:val="00555F07"/>
    <w:rsid w:val="00560888"/>
    <w:rsid w:val="00583004"/>
    <w:rsid w:val="005A2DCF"/>
    <w:rsid w:val="005B6290"/>
    <w:rsid w:val="005C6DA7"/>
    <w:rsid w:val="005D453B"/>
    <w:rsid w:val="00630731"/>
    <w:rsid w:val="00635221"/>
    <w:rsid w:val="006415C4"/>
    <w:rsid w:val="006532D0"/>
    <w:rsid w:val="00666D73"/>
    <w:rsid w:val="006D7AB4"/>
    <w:rsid w:val="006F02C0"/>
    <w:rsid w:val="00750944"/>
    <w:rsid w:val="00753AE9"/>
    <w:rsid w:val="00793AC4"/>
    <w:rsid w:val="007A5510"/>
    <w:rsid w:val="007B0034"/>
    <w:rsid w:val="007B6740"/>
    <w:rsid w:val="007C5AC9"/>
    <w:rsid w:val="007C65A9"/>
    <w:rsid w:val="007D2761"/>
    <w:rsid w:val="007D3FE7"/>
    <w:rsid w:val="007D5293"/>
    <w:rsid w:val="007E244D"/>
    <w:rsid w:val="0081726B"/>
    <w:rsid w:val="008232A8"/>
    <w:rsid w:val="00844F69"/>
    <w:rsid w:val="0088440E"/>
    <w:rsid w:val="00886881"/>
    <w:rsid w:val="008869C5"/>
    <w:rsid w:val="00891584"/>
    <w:rsid w:val="008A69E6"/>
    <w:rsid w:val="008C10A8"/>
    <w:rsid w:val="008F5D13"/>
    <w:rsid w:val="008F744B"/>
    <w:rsid w:val="00900363"/>
    <w:rsid w:val="00930875"/>
    <w:rsid w:val="0094784D"/>
    <w:rsid w:val="00954F1E"/>
    <w:rsid w:val="00956BFC"/>
    <w:rsid w:val="00980E4B"/>
    <w:rsid w:val="009B15CB"/>
    <w:rsid w:val="009B3D35"/>
    <w:rsid w:val="009D51A4"/>
    <w:rsid w:val="00A73FA5"/>
    <w:rsid w:val="00A902C4"/>
    <w:rsid w:val="00A92965"/>
    <w:rsid w:val="00AA6B17"/>
    <w:rsid w:val="00AA7AC3"/>
    <w:rsid w:val="00AC48E9"/>
    <w:rsid w:val="00AC4D0E"/>
    <w:rsid w:val="00B243E8"/>
    <w:rsid w:val="00B906C0"/>
    <w:rsid w:val="00BD5D5D"/>
    <w:rsid w:val="00BE022D"/>
    <w:rsid w:val="00C0022C"/>
    <w:rsid w:val="00C81895"/>
    <w:rsid w:val="00C91D1B"/>
    <w:rsid w:val="00CC7DA7"/>
    <w:rsid w:val="00D1139D"/>
    <w:rsid w:val="00D24980"/>
    <w:rsid w:val="00D32EE9"/>
    <w:rsid w:val="00D4356A"/>
    <w:rsid w:val="00D904E7"/>
    <w:rsid w:val="00D90B95"/>
    <w:rsid w:val="00D94882"/>
    <w:rsid w:val="00D956EF"/>
    <w:rsid w:val="00DB1546"/>
    <w:rsid w:val="00DD3CE4"/>
    <w:rsid w:val="00DE5073"/>
    <w:rsid w:val="00DF7B05"/>
    <w:rsid w:val="00E03AF0"/>
    <w:rsid w:val="00E3404A"/>
    <w:rsid w:val="00E63F7B"/>
    <w:rsid w:val="00E701E9"/>
    <w:rsid w:val="00E865E2"/>
    <w:rsid w:val="00EA1069"/>
    <w:rsid w:val="00EC7079"/>
    <w:rsid w:val="00EE3DC3"/>
    <w:rsid w:val="00F2645F"/>
    <w:rsid w:val="00F525C6"/>
    <w:rsid w:val="00F62C32"/>
    <w:rsid w:val="00F66DC4"/>
    <w:rsid w:val="00F82970"/>
    <w:rsid w:val="00F8359D"/>
    <w:rsid w:val="00FD1070"/>
    <w:rsid w:val="00FE5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434C"/>
  <w15:chartTrackingRefBased/>
  <w15:docId w15:val="{07BA1F58-C77E-46D9-8E05-088F41BD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1BFC"/>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4D1BFC"/>
    <w:pPr>
      <w:shd w:val="clear" w:color="auto" w:fill="FFFFFF"/>
      <w:spacing w:before="480" w:line="226" w:lineRule="exact"/>
    </w:pPr>
    <w:rPr>
      <w:rFonts w:ascii="Arial" w:hAnsi="Arial" w:cs="Arial"/>
      <w:color w:val="auto"/>
      <w:sz w:val="20"/>
      <w:szCs w:val="20"/>
      <w:lang w:eastAsia="ru-RU"/>
    </w:rPr>
  </w:style>
  <w:style w:type="character" w:customStyle="1" w:styleId="a5">
    <w:name w:val="Основной текст Знак"/>
    <w:basedOn w:val="a1"/>
    <w:link w:val="a4"/>
    <w:uiPriority w:val="99"/>
    <w:rsid w:val="004D1BFC"/>
    <w:rPr>
      <w:rFonts w:ascii="Arial" w:eastAsia="Arial Unicode MS" w:hAnsi="Arial" w:cs="Arial"/>
      <w:sz w:val="20"/>
      <w:szCs w:val="20"/>
      <w:shd w:val="clear" w:color="auto" w:fill="FFFFFF"/>
      <w:lang w:val="uk-UA" w:eastAsia="ru-RU"/>
    </w:rPr>
  </w:style>
  <w:style w:type="character" w:customStyle="1" w:styleId="4">
    <w:name w:val="Заголовок №4"/>
    <w:basedOn w:val="a1"/>
    <w:link w:val="41"/>
    <w:uiPriority w:val="99"/>
    <w:rsid w:val="004D1BFC"/>
    <w:rPr>
      <w:rFonts w:ascii="Arial" w:hAnsi="Arial" w:cs="Arial"/>
      <w:b/>
      <w:bCs/>
      <w:sz w:val="20"/>
      <w:szCs w:val="20"/>
      <w:shd w:val="clear" w:color="auto" w:fill="FFFFFF"/>
    </w:rPr>
  </w:style>
  <w:style w:type="paragraph" w:customStyle="1" w:styleId="41">
    <w:name w:val="Заголовок №41"/>
    <w:basedOn w:val="a0"/>
    <w:link w:val="4"/>
    <w:uiPriority w:val="99"/>
    <w:rsid w:val="004D1BFC"/>
    <w:pPr>
      <w:shd w:val="clear" w:color="auto" w:fill="FFFFFF"/>
      <w:spacing w:line="466" w:lineRule="exact"/>
      <w:outlineLvl w:val="3"/>
    </w:pPr>
    <w:rPr>
      <w:rFonts w:ascii="Arial" w:eastAsiaTheme="minorHAnsi" w:hAnsi="Arial" w:cs="Arial"/>
      <w:b/>
      <w:bCs/>
      <w:color w:val="auto"/>
      <w:sz w:val="20"/>
      <w:szCs w:val="20"/>
      <w:lang w:val="ru-RU" w:eastAsia="en-US"/>
    </w:rPr>
  </w:style>
  <w:style w:type="character" w:customStyle="1" w:styleId="11">
    <w:name w:val="Основной текст (11)"/>
    <w:basedOn w:val="a1"/>
    <w:link w:val="111"/>
    <w:uiPriority w:val="99"/>
    <w:rsid w:val="00D24980"/>
    <w:rPr>
      <w:rFonts w:ascii="Arial" w:hAnsi="Arial" w:cs="Arial"/>
      <w:sz w:val="18"/>
      <w:szCs w:val="18"/>
      <w:shd w:val="clear" w:color="auto" w:fill="FFFFFF"/>
    </w:rPr>
  </w:style>
  <w:style w:type="paragraph" w:customStyle="1" w:styleId="111">
    <w:name w:val="Основной текст (11)1"/>
    <w:basedOn w:val="a0"/>
    <w:link w:val="11"/>
    <w:uiPriority w:val="99"/>
    <w:rsid w:val="00D24980"/>
    <w:pPr>
      <w:shd w:val="clear" w:color="auto" w:fill="FFFFFF"/>
      <w:spacing w:line="240" w:lineRule="atLeast"/>
    </w:pPr>
    <w:rPr>
      <w:rFonts w:ascii="Arial" w:eastAsiaTheme="minorHAnsi" w:hAnsi="Arial" w:cs="Arial"/>
      <w:color w:val="auto"/>
      <w:sz w:val="18"/>
      <w:szCs w:val="18"/>
      <w:lang w:val="ru-RU" w:eastAsia="en-US"/>
    </w:rPr>
  </w:style>
  <w:style w:type="character" w:customStyle="1" w:styleId="14">
    <w:name w:val="Основной текст (14)"/>
    <w:basedOn w:val="a1"/>
    <w:link w:val="141"/>
    <w:uiPriority w:val="99"/>
    <w:rsid w:val="00D24980"/>
    <w:rPr>
      <w:rFonts w:ascii="Arial" w:hAnsi="Arial" w:cs="Arial"/>
      <w:b/>
      <w:bCs/>
      <w:sz w:val="18"/>
      <w:szCs w:val="18"/>
      <w:shd w:val="clear" w:color="auto" w:fill="FFFFFF"/>
    </w:rPr>
  </w:style>
  <w:style w:type="character" w:customStyle="1" w:styleId="19">
    <w:name w:val="Основной текст (19)"/>
    <w:basedOn w:val="a1"/>
    <w:link w:val="191"/>
    <w:uiPriority w:val="99"/>
    <w:rsid w:val="00D24980"/>
    <w:rPr>
      <w:rFonts w:ascii="Arial" w:hAnsi="Arial" w:cs="Arial"/>
      <w:sz w:val="18"/>
      <w:szCs w:val="18"/>
      <w:shd w:val="clear" w:color="auto" w:fill="FFFFFF"/>
    </w:rPr>
  </w:style>
  <w:style w:type="character" w:customStyle="1" w:styleId="20">
    <w:name w:val="Основной текст (20)"/>
    <w:basedOn w:val="a1"/>
    <w:link w:val="201"/>
    <w:uiPriority w:val="99"/>
    <w:rsid w:val="00D24980"/>
    <w:rPr>
      <w:rFonts w:ascii="Arial" w:hAnsi="Arial" w:cs="Arial"/>
      <w:b/>
      <w:bCs/>
      <w:sz w:val="18"/>
      <w:szCs w:val="18"/>
      <w:shd w:val="clear" w:color="auto" w:fill="FFFFFF"/>
    </w:rPr>
  </w:style>
  <w:style w:type="paragraph" w:customStyle="1" w:styleId="141">
    <w:name w:val="Основной текст (14)1"/>
    <w:basedOn w:val="a0"/>
    <w:link w:val="14"/>
    <w:uiPriority w:val="99"/>
    <w:rsid w:val="00D24980"/>
    <w:pPr>
      <w:shd w:val="clear" w:color="auto" w:fill="FFFFFF"/>
      <w:spacing w:line="240" w:lineRule="atLeast"/>
    </w:pPr>
    <w:rPr>
      <w:rFonts w:ascii="Arial" w:eastAsiaTheme="minorHAnsi" w:hAnsi="Arial" w:cs="Arial"/>
      <w:b/>
      <w:bCs/>
      <w:color w:val="auto"/>
      <w:sz w:val="18"/>
      <w:szCs w:val="18"/>
      <w:lang w:val="ru-RU" w:eastAsia="en-US"/>
    </w:rPr>
  </w:style>
  <w:style w:type="paragraph" w:customStyle="1" w:styleId="191">
    <w:name w:val="Основной текст (19)1"/>
    <w:basedOn w:val="a0"/>
    <w:link w:val="19"/>
    <w:uiPriority w:val="99"/>
    <w:rsid w:val="00D24980"/>
    <w:pPr>
      <w:shd w:val="clear" w:color="auto" w:fill="FFFFFF"/>
      <w:spacing w:line="240" w:lineRule="atLeast"/>
      <w:jc w:val="both"/>
    </w:pPr>
    <w:rPr>
      <w:rFonts w:ascii="Arial" w:eastAsiaTheme="minorHAnsi" w:hAnsi="Arial" w:cs="Arial"/>
      <w:color w:val="auto"/>
      <w:sz w:val="18"/>
      <w:szCs w:val="18"/>
      <w:lang w:val="ru-RU" w:eastAsia="en-US"/>
    </w:rPr>
  </w:style>
  <w:style w:type="paragraph" w:customStyle="1" w:styleId="201">
    <w:name w:val="Основной текст (20)1"/>
    <w:basedOn w:val="a0"/>
    <w:link w:val="20"/>
    <w:uiPriority w:val="99"/>
    <w:rsid w:val="00D24980"/>
    <w:pPr>
      <w:shd w:val="clear" w:color="auto" w:fill="FFFFFF"/>
      <w:spacing w:line="240" w:lineRule="atLeast"/>
      <w:jc w:val="both"/>
    </w:pPr>
    <w:rPr>
      <w:rFonts w:ascii="Arial" w:eastAsiaTheme="minorHAnsi" w:hAnsi="Arial" w:cs="Arial"/>
      <w:b/>
      <w:bCs/>
      <w:color w:val="auto"/>
      <w:sz w:val="18"/>
      <w:szCs w:val="18"/>
      <w:lang w:val="ru-RU" w:eastAsia="en-US"/>
    </w:rPr>
  </w:style>
  <w:style w:type="character" w:customStyle="1" w:styleId="a6">
    <w:name w:val="Основной текст + Полужирный"/>
    <w:aliases w:val="Курсив4"/>
    <w:uiPriority w:val="99"/>
    <w:rsid w:val="00D24980"/>
    <w:rPr>
      <w:rFonts w:ascii="Arial" w:hAnsi="Arial" w:cs="Arial"/>
      <w:b/>
      <w:bCs/>
      <w:i/>
      <w:iCs/>
      <w:sz w:val="20"/>
      <w:szCs w:val="20"/>
    </w:rPr>
  </w:style>
  <w:style w:type="paragraph" w:styleId="a7">
    <w:name w:val="header"/>
    <w:basedOn w:val="a0"/>
    <w:link w:val="a8"/>
    <w:uiPriority w:val="99"/>
    <w:unhideWhenUsed/>
    <w:rsid w:val="00560888"/>
    <w:pPr>
      <w:tabs>
        <w:tab w:val="center" w:pos="4677"/>
        <w:tab w:val="right" w:pos="9355"/>
      </w:tabs>
    </w:pPr>
  </w:style>
  <w:style w:type="character" w:customStyle="1" w:styleId="a8">
    <w:name w:val="Верхний колонтитул Знак"/>
    <w:basedOn w:val="a1"/>
    <w:link w:val="a7"/>
    <w:uiPriority w:val="99"/>
    <w:rsid w:val="00560888"/>
    <w:rPr>
      <w:rFonts w:ascii="Arial Unicode MS" w:eastAsia="Arial Unicode MS" w:hAnsi="Arial Unicode MS" w:cs="Arial Unicode MS"/>
      <w:color w:val="000000"/>
      <w:sz w:val="24"/>
      <w:szCs w:val="24"/>
      <w:lang w:val="uk-UA" w:eastAsia="uk-UA"/>
    </w:rPr>
  </w:style>
  <w:style w:type="paragraph" w:styleId="a9">
    <w:name w:val="footer"/>
    <w:basedOn w:val="a0"/>
    <w:link w:val="aa"/>
    <w:uiPriority w:val="99"/>
    <w:unhideWhenUsed/>
    <w:rsid w:val="00560888"/>
    <w:pPr>
      <w:tabs>
        <w:tab w:val="center" w:pos="4677"/>
        <w:tab w:val="right" w:pos="9355"/>
      </w:tabs>
    </w:pPr>
  </w:style>
  <w:style w:type="character" w:customStyle="1" w:styleId="aa">
    <w:name w:val="Нижний колонтитул Знак"/>
    <w:basedOn w:val="a1"/>
    <w:link w:val="a9"/>
    <w:uiPriority w:val="99"/>
    <w:rsid w:val="00560888"/>
    <w:rPr>
      <w:rFonts w:ascii="Arial Unicode MS" w:eastAsia="Arial Unicode MS" w:hAnsi="Arial Unicode MS" w:cs="Arial Unicode MS"/>
      <w:color w:val="000000"/>
      <w:sz w:val="24"/>
      <w:szCs w:val="24"/>
      <w:lang w:val="uk-UA" w:eastAsia="uk-UA"/>
    </w:rPr>
  </w:style>
  <w:style w:type="paragraph" w:styleId="ab">
    <w:name w:val="List Paragraph"/>
    <w:basedOn w:val="a0"/>
    <w:uiPriority w:val="34"/>
    <w:qFormat/>
    <w:rsid w:val="004C3014"/>
    <w:pPr>
      <w:ind w:left="720"/>
      <w:contextualSpacing/>
    </w:pPr>
  </w:style>
  <w:style w:type="paragraph" w:styleId="ac">
    <w:name w:val="Plain Text"/>
    <w:basedOn w:val="a0"/>
    <w:link w:val="ad"/>
    <w:uiPriority w:val="99"/>
    <w:unhideWhenUsed/>
    <w:rsid w:val="00750944"/>
    <w:rPr>
      <w:rFonts w:ascii="Calibri" w:eastAsia="Calibri" w:hAnsi="Calibri" w:cs="Times New Roman"/>
      <w:color w:val="auto"/>
      <w:sz w:val="22"/>
      <w:szCs w:val="21"/>
      <w:lang w:val="x-none" w:eastAsia="en-US"/>
    </w:rPr>
  </w:style>
  <w:style w:type="character" w:customStyle="1" w:styleId="ad">
    <w:name w:val="Текст Знак"/>
    <w:basedOn w:val="a1"/>
    <w:link w:val="ac"/>
    <w:uiPriority w:val="99"/>
    <w:rsid w:val="00750944"/>
    <w:rPr>
      <w:rFonts w:ascii="Calibri" w:eastAsia="Calibri" w:hAnsi="Calibri" w:cs="Times New Roman"/>
      <w:szCs w:val="21"/>
      <w:lang w:val="x-none"/>
    </w:rPr>
  </w:style>
  <w:style w:type="paragraph" w:customStyle="1" w:styleId="fs-0">
    <w:name w:val="fs-текст"/>
    <w:basedOn w:val="a0"/>
    <w:link w:val="fs-1"/>
    <w:uiPriority w:val="1"/>
    <w:qFormat/>
    <w:rsid w:val="00D4356A"/>
    <w:pPr>
      <w:spacing w:before="120" w:after="120"/>
      <w:jc w:val="both"/>
    </w:pPr>
    <w:rPr>
      <w:rFonts w:ascii="Arial" w:eastAsia="Arial" w:hAnsi="Arial" w:cs="Arial"/>
      <w:color w:val="auto"/>
      <w:sz w:val="20"/>
      <w:szCs w:val="22"/>
      <w:lang w:eastAsia="ar-SA"/>
    </w:rPr>
  </w:style>
  <w:style w:type="character" w:customStyle="1" w:styleId="fs-1">
    <w:name w:val="fs-текст Знак"/>
    <w:link w:val="fs-0"/>
    <w:uiPriority w:val="1"/>
    <w:rsid w:val="00D4356A"/>
    <w:rPr>
      <w:rFonts w:ascii="Arial" w:eastAsia="Arial" w:hAnsi="Arial" w:cs="Arial"/>
      <w:sz w:val="20"/>
      <w:lang w:val="uk-UA" w:eastAsia="ar-SA"/>
    </w:rPr>
  </w:style>
  <w:style w:type="paragraph" w:customStyle="1" w:styleId="a">
    <w:name w:val="аМаркери"/>
    <w:basedOn w:val="a0"/>
    <w:uiPriority w:val="1"/>
    <w:rsid w:val="00D4356A"/>
    <w:pPr>
      <w:numPr>
        <w:numId w:val="4"/>
      </w:numPr>
      <w:spacing w:before="40" w:after="40"/>
      <w:ind w:left="714" w:hanging="357"/>
      <w:jc w:val="both"/>
    </w:pPr>
    <w:rPr>
      <w:rFonts w:ascii="Arial" w:eastAsia="Arial" w:hAnsi="Arial" w:cs="Arial"/>
      <w:color w:val="auto"/>
      <w:sz w:val="22"/>
      <w:szCs w:val="22"/>
      <w:lang w:eastAsia="ar-SA"/>
    </w:rPr>
  </w:style>
  <w:style w:type="paragraph" w:customStyle="1" w:styleId="fs-">
    <w:name w:val="fs-Маркери"/>
    <w:basedOn w:val="fs-0"/>
    <w:link w:val="fs-2"/>
    <w:uiPriority w:val="1"/>
    <w:qFormat/>
    <w:rsid w:val="00D4356A"/>
    <w:pPr>
      <w:numPr>
        <w:numId w:val="5"/>
      </w:numPr>
      <w:spacing w:before="40" w:after="40"/>
    </w:pPr>
  </w:style>
  <w:style w:type="character" w:customStyle="1" w:styleId="fs-2">
    <w:name w:val="fs-Маркери Знак"/>
    <w:basedOn w:val="fs-1"/>
    <w:link w:val="fs-"/>
    <w:uiPriority w:val="1"/>
    <w:rsid w:val="00D4356A"/>
    <w:rPr>
      <w:rFonts w:ascii="Arial" w:eastAsia="Arial" w:hAnsi="Arial" w:cs="Arial"/>
      <w:sz w:val="20"/>
      <w:lang w:val="uk-UA" w:eastAsia="ar-SA"/>
    </w:rPr>
  </w:style>
  <w:style w:type="paragraph" w:customStyle="1" w:styleId="fs-3">
    <w:name w:val="fs-заг3"/>
    <w:basedOn w:val="a0"/>
    <w:link w:val="fs-30"/>
    <w:qFormat/>
    <w:rsid w:val="00D4356A"/>
    <w:pPr>
      <w:keepNext/>
      <w:spacing w:before="120" w:after="120"/>
      <w:jc w:val="both"/>
      <w:outlineLvl w:val="2"/>
    </w:pPr>
    <w:rPr>
      <w:rFonts w:ascii="Arial" w:eastAsia="Arial" w:hAnsi="Arial" w:cs="Arial"/>
      <w:b/>
      <w:i/>
      <w:color w:val="auto"/>
      <w:sz w:val="20"/>
      <w:szCs w:val="22"/>
      <w:lang w:eastAsia="ar-SA"/>
    </w:rPr>
  </w:style>
  <w:style w:type="character" w:customStyle="1" w:styleId="fs-30">
    <w:name w:val="fs-заг3 Знак"/>
    <w:link w:val="fs-3"/>
    <w:rsid w:val="00D4356A"/>
    <w:rPr>
      <w:rFonts w:ascii="Arial" w:eastAsia="Arial" w:hAnsi="Arial" w:cs="Arial"/>
      <w:b/>
      <w:i/>
      <w:sz w:val="20"/>
      <w:lang w:val="uk-UA" w:eastAsia="ar-SA"/>
    </w:rPr>
  </w:style>
  <w:style w:type="paragraph" w:customStyle="1" w:styleId="fs-4">
    <w:name w:val="fs-Табл"/>
    <w:basedOn w:val="fs-0"/>
    <w:link w:val="fs-5"/>
    <w:uiPriority w:val="1"/>
    <w:qFormat/>
    <w:rsid w:val="00D4356A"/>
    <w:pPr>
      <w:spacing w:before="20" w:after="20"/>
    </w:pPr>
    <w:rPr>
      <w:sz w:val="18"/>
    </w:rPr>
  </w:style>
  <w:style w:type="character" w:customStyle="1" w:styleId="fs-5">
    <w:name w:val="fs-Табл Знак"/>
    <w:basedOn w:val="fs-1"/>
    <w:link w:val="fs-4"/>
    <w:uiPriority w:val="1"/>
    <w:rsid w:val="00D4356A"/>
    <w:rPr>
      <w:rFonts w:ascii="Arial" w:eastAsia="Arial" w:hAnsi="Arial" w:cs="Arial"/>
      <w:sz w:val="18"/>
      <w:lang w:val="uk-UA" w:eastAsia="ar-SA"/>
    </w:rPr>
  </w:style>
  <w:style w:type="paragraph" w:customStyle="1" w:styleId="fs-40">
    <w:name w:val="fs-заг4"/>
    <w:basedOn w:val="fs-0"/>
    <w:link w:val="fs-41"/>
    <w:qFormat/>
    <w:rsid w:val="00D4356A"/>
    <w:pPr>
      <w:keepNext/>
    </w:pPr>
    <w:rPr>
      <w:i/>
    </w:rPr>
  </w:style>
  <w:style w:type="character" w:customStyle="1" w:styleId="fs-41">
    <w:name w:val="fs-заг4 Знак"/>
    <w:basedOn w:val="fs-1"/>
    <w:link w:val="fs-40"/>
    <w:rsid w:val="00D4356A"/>
    <w:rPr>
      <w:rFonts w:ascii="Arial" w:eastAsia="Arial" w:hAnsi="Arial" w:cs="Arial"/>
      <w:i/>
      <w:sz w:val="20"/>
      <w:lang w:val="uk-UA" w:eastAsia="ar-SA"/>
    </w:rPr>
  </w:style>
  <w:style w:type="paragraph" w:customStyle="1" w:styleId="xfmc1">
    <w:name w:val="xfmc1"/>
    <w:basedOn w:val="a0"/>
    <w:rsid w:val="00D4356A"/>
    <w:pPr>
      <w:spacing w:before="100" w:beforeAutospacing="1" w:after="100" w:afterAutospacing="1"/>
    </w:pPr>
    <w:rPr>
      <w:rFonts w:ascii="Times New Roman" w:eastAsia="Times New Roman" w:hAnsi="Times New Roman" w:cs="Times New Roman"/>
      <w:color w:val="auto"/>
      <w:lang w:val="ru-RU" w:eastAsia="ru-RU"/>
    </w:rPr>
  </w:style>
  <w:style w:type="table" w:styleId="ae">
    <w:name w:val="Table Grid"/>
    <w:basedOn w:val="a2"/>
    <w:uiPriority w:val="39"/>
    <w:rsid w:val="00D43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8582</Words>
  <Characters>4892</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 Щербань</dc:creator>
  <cp:keywords/>
  <dc:description/>
  <cp:lastModifiedBy>Ирина Н. Топузлиева</cp:lastModifiedBy>
  <cp:revision>7</cp:revision>
  <dcterms:created xsi:type="dcterms:W3CDTF">2024-04-23T13:12:00Z</dcterms:created>
  <dcterms:modified xsi:type="dcterms:W3CDTF">2024-04-29T08:14:00Z</dcterms:modified>
</cp:coreProperties>
</file>